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i w:val="0"/>
          <w:caps w:val="0"/>
          <w:color w:val="262626"/>
          <w:spacing w:val="0"/>
          <w:sz w:val="24"/>
          <w:szCs w:val="24"/>
          <w:shd w:val="clear" w:fill="FFFFFF"/>
        </w:rPr>
      </w:pPr>
      <w:r>
        <w:rPr>
          <w:rFonts w:hint="eastAsia" w:ascii="宋体" w:hAnsi="宋体" w:eastAsia="宋体" w:cs="宋体"/>
          <w:b w:val="0"/>
          <w:i w:val="0"/>
          <w:caps w:val="0"/>
          <w:color w:val="262626"/>
          <w:spacing w:val="0"/>
          <w:sz w:val="24"/>
          <w:szCs w:val="24"/>
          <w:shd w:val="clear" w:fill="FFFFFF"/>
          <w:lang w:eastAsia="zh-CN"/>
        </w:rPr>
        <w:t>中国人民大学出版社</w:t>
      </w:r>
      <w:r>
        <w:rPr>
          <w:rFonts w:hint="eastAsia" w:ascii="宋体" w:hAnsi="宋体" w:eastAsia="宋体" w:cs="宋体"/>
          <w:b w:val="0"/>
          <w:i w:val="0"/>
          <w:caps w:val="0"/>
          <w:color w:val="262626"/>
          <w:spacing w:val="0"/>
          <w:sz w:val="24"/>
          <w:szCs w:val="24"/>
          <w:shd w:val="clear" w:fill="FFFFFF"/>
        </w:rPr>
        <w:t>新优教材推介</w:t>
      </w:r>
    </w:p>
    <w:p>
      <w:pPr>
        <w:numPr>
          <w:ilvl w:val="0"/>
          <w:numId w:val="1"/>
        </w:numPr>
        <w:jc w:val="left"/>
        <w:rPr>
          <w:rFonts w:hint="eastAsia" w:ascii="宋体" w:hAnsi="宋体" w:eastAsia="宋体" w:cs="宋体"/>
          <w:sz w:val="24"/>
          <w:szCs w:val="24"/>
        </w:rPr>
      </w:pPr>
      <w:r>
        <w:rPr>
          <w:rFonts w:hint="eastAsia" w:ascii="宋体" w:hAnsi="宋体" w:eastAsia="宋体" w:cs="宋体"/>
          <w:sz w:val="24"/>
          <w:szCs w:val="24"/>
        </w:rPr>
        <w:t>会计学</w:t>
      </w:r>
      <w:r>
        <w:rPr>
          <w:rFonts w:hint="eastAsia" w:ascii="宋体" w:hAnsi="宋体" w:eastAsia="宋体" w:cs="宋体"/>
          <w:sz w:val="24"/>
          <w:szCs w:val="24"/>
        </w:rPr>
        <w:br w:type="textWrapping"/>
      </w:r>
      <w:r>
        <w:rPr>
          <w:rFonts w:hint="eastAsia" w:ascii="宋体" w:hAnsi="宋体" w:eastAsia="宋体" w:cs="宋体"/>
          <w:sz w:val="24"/>
          <w:szCs w:val="24"/>
        </w:rPr>
        <w:t>作者：荆新 宋建波 </w:t>
      </w:r>
      <w:r>
        <w:rPr>
          <w:rFonts w:hint="eastAsia" w:ascii="宋体" w:hAnsi="宋体" w:eastAsia="宋体" w:cs="宋体"/>
          <w:sz w:val="24"/>
          <w:szCs w:val="24"/>
        </w:rPr>
        <w:br w:type="textWrapping"/>
      </w:r>
      <w:r>
        <w:rPr>
          <w:rFonts w:hint="eastAsia" w:ascii="宋体" w:hAnsi="宋体" w:eastAsia="宋体" w:cs="宋体"/>
          <w:sz w:val="24"/>
          <w:szCs w:val="24"/>
        </w:rPr>
        <w:t>ISBN：978-7-300-28123-0</w:t>
      </w:r>
      <w:r>
        <w:rPr>
          <w:rFonts w:hint="eastAsia" w:ascii="宋体" w:hAnsi="宋体" w:eastAsia="宋体" w:cs="宋体"/>
          <w:sz w:val="24"/>
          <w:szCs w:val="24"/>
        </w:rPr>
        <w:br w:type="textWrapping"/>
      </w:r>
      <w:r>
        <w:rPr>
          <w:rFonts w:hint="eastAsia" w:ascii="宋体" w:hAnsi="宋体" w:eastAsia="宋体" w:cs="宋体"/>
          <w:sz w:val="24"/>
          <w:szCs w:val="24"/>
        </w:rPr>
        <w:t xml:space="preserve">定价：36.00 </w:t>
      </w:r>
      <w:r>
        <w:rPr>
          <w:rFonts w:hint="eastAsia" w:ascii="宋体" w:hAnsi="宋体" w:eastAsia="宋体" w:cs="宋体"/>
          <w:sz w:val="24"/>
          <w:szCs w:val="24"/>
        </w:rPr>
        <w:br w:type="textWrapping"/>
      </w:r>
      <w:r>
        <w:rPr>
          <w:rFonts w:hint="eastAsia" w:ascii="宋体" w:hAnsi="宋体" w:eastAsia="宋体" w:cs="宋体"/>
          <w:sz w:val="24"/>
          <w:szCs w:val="24"/>
        </w:rPr>
        <w:t>出版日期：2020-06-01</w:t>
      </w:r>
    </w:p>
    <w:p>
      <w:pPr>
        <w:numPr>
          <w:ilvl w:val="0"/>
          <w:numId w:val="0"/>
        </w:num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本书分为三大模块，共12章。第一大模块为会计基础性原理</w:t>
      </w:r>
      <w:r>
        <w:rPr>
          <w:rFonts w:hint="eastAsia" w:ascii="宋体" w:hAnsi="宋体" w:eastAsia="宋体" w:cs="宋体"/>
          <w:sz w:val="24"/>
          <w:szCs w:val="24"/>
          <w:lang w:eastAsia="zh-CN"/>
        </w:rPr>
        <w:t>；</w:t>
      </w:r>
      <w:r>
        <w:rPr>
          <w:rFonts w:hint="eastAsia" w:ascii="宋体" w:hAnsi="宋体" w:eastAsia="宋体" w:cs="宋体"/>
          <w:sz w:val="24"/>
          <w:szCs w:val="24"/>
        </w:rPr>
        <w:t>第二大模块为业务循环、会计确认和计量，包括资本筹集、长期经营性资产投资、采购与付款、生产与成本流转、销售与付款、对外投资与金融资产、利润的形成与分配；第三大模块为会计报表信息的生成与使用。 </w:t>
      </w:r>
      <w:r>
        <w:rPr>
          <w:rFonts w:hint="eastAsia" w:ascii="宋体" w:hAnsi="宋体" w:eastAsia="宋体" w:cs="宋体"/>
          <w:sz w:val="24"/>
          <w:szCs w:val="24"/>
        </w:rPr>
        <w:br w:type="textWrapping"/>
      </w:r>
      <w:r>
        <w:rPr>
          <w:rFonts w:hint="eastAsia" w:ascii="宋体" w:hAnsi="宋体" w:eastAsia="宋体" w:cs="宋体"/>
          <w:sz w:val="24"/>
          <w:szCs w:val="24"/>
        </w:rPr>
        <w:t>本书以业务循环为逻辑主线，结合会计循环和会计要素谋篇布局。更适应业财融合和业会融合，集业务、财务、会计于一体的现代先进理念和实践，在教学过程中能够把购、产、销等业务循环和筹资、投资、分配等财务循环，与会计确认、计量、记录、报告等会计循环有效地契合起来、融为一体。 </w:t>
      </w:r>
      <w:r>
        <w:rPr>
          <w:rFonts w:hint="eastAsia" w:ascii="宋体" w:hAnsi="宋体" w:eastAsia="宋体" w:cs="宋体"/>
          <w:sz w:val="24"/>
          <w:szCs w:val="24"/>
        </w:rPr>
        <w:br w:type="textWrapping"/>
      </w:r>
      <w:r>
        <w:rPr>
          <w:rFonts w:hint="eastAsia" w:ascii="宋体" w:hAnsi="宋体" w:eastAsia="宋体" w:cs="宋体"/>
          <w:sz w:val="24"/>
          <w:szCs w:val="24"/>
        </w:rPr>
        <w:t>本教材适合高校经济、管理类专业会计学的教学需要，也适合经济管理工作者会计学的自学需要。 </w:t>
      </w:r>
      <w:r>
        <w:rPr>
          <w:rFonts w:hint="eastAsia" w:ascii="宋体" w:hAnsi="宋体" w:eastAsia="宋体" w:cs="宋体"/>
          <w:sz w:val="24"/>
          <w:szCs w:val="24"/>
        </w:rPr>
        <w:br w:type="textWrapping"/>
      </w:r>
      <w:r>
        <w:rPr>
          <w:rFonts w:hint="eastAsia" w:ascii="宋体" w:hAnsi="宋体" w:eastAsia="宋体" w:cs="宋体"/>
          <w:sz w:val="24"/>
          <w:szCs w:val="24"/>
        </w:rPr>
        <w:t>配套资源：PPT，章后习题答案等。</w:t>
      </w:r>
    </w:p>
    <w:p>
      <w:pPr>
        <w:widowControl w:val="0"/>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61155" cy="5226685"/>
            <wp:effectExtent l="0" t="0" r="10795" b="12065"/>
            <wp:docPr id="1" name="图片 1" descr="会计学 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会计学 封面"/>
                    <pic:cNvPicPr>
                      <a:picLocks noChangeAspect="1"/>
                    </pic:cNvPicPr>
                  </pic:nvPicPr>
                  <pic:blipFill>
                    <a:blip r:embed="rId4"/>
                    <a:stretch>
                      <a:fillRect/>
                    </a:stretch>
                  </pic:blipFill>
                  <pic:spPr>
                    <a:xfrm>
                      <a:off x="0" y="0"/>
                      <a:ext cx="4161155" cy="5226685"/>
                    </a:xfrm>
                    <a:prstGeom prst="rect">
                      <a:avLst/>
                    </a:prstGeom>
                  </pic:spPr>
                </pic:pic>
              </a:graphicData>
            </a:graphic>
          </wp:inline>
        </w:drawing>
      </w:r>
    </w:p>
    <w:p>
      <w:pPr>
        <w:widowControl w:val="0"/>
        <w:numPr>
          <w:ilvl w:val="0"/>
          <w:numId w:val="1"/>
        </w:numPr>
        <w:ind w:left="0" w:leftChars="0" w:firstLine="0" w:firstLineChars="0"/>
        <w:jc w:val="left"/>
        <w:rPr>
          <w:rFonts w:hint="eastAsia" w:ascii="宋体" w:hAnsi="宋体" w:eastAsia="宋体" w:cs="宋体"/>
          <w:color w:val="auto"/>
          <w:sz w:val="24"/>
          <w:szCs w:val="24"/>
        </w:rPr>
      </w:pPr>
      <w:r>
        <w:rPr>
          <w:rFonts w:hint="eastAsia" w:ascii="宋体" w:hAnsi="宋体" w:eastAsia="宋体" w:cs="宋体"/>
          <w:sz w:val="24"/>
          <w:szCs w:val="24"/>
        </w:rPr>
        <w:t>财务报表分析（第5版·立体化数字教材版）</w:t>
      </w:r>
      <w:r>
        <w:rPr>
          <w:rFonts w:hint="eastAsia" w:ascii="宋体" w:hAnsi="宋体" w:eastAsia="宋体" w:cs="宋体"/>
          <w:sz w:val="24"/>
          <w:szCs w:val="24"/>
        </w:rPr>
        <w:br w:type="textWrapping"/>
      </w:r>
      <w:r>
        <w:rPr>
          <w:rFonts w:hint="eastAsia" w:ascii="宋体" w:hAnsi="宋体" w:eastAsia="宋体" w:cs="宋体"/>
          <w:sz w:val="24"/>
          <w:szCs w:val="24"/>
        </w:rPr>
        <w:t>作者：张新民 钱爱民 </w:t>
      </w:r>
      <w:r>
        <w:rPr>
          <w:rFonts w:hint="eastAsia" w:ascii="宋体" w:hAnsi="宋体" w:eastAsia="宋体" w:cs="宋体"/>
          <w:sz w:val="24"/>
          <w:szCs w:val="24"/>
        </w:rPr>
        <w:br w:type="textWrapping"/>
      </w:r>
      <w:r>
        <w:rPr>
          <w:rFonts w:hint="eastAsia" w:ascii="宋体" w:hAnsi="宋体" w:eastAsia="宋体" w:cs="宋体"/>
          <w:sz w:val="24"/>
          <w:szCs w:val="24"/>
        </w:rPr>
        <w:t>ISBN：978-7-300-27162-0</w:t>
      </w:r>
      <w:r>
        <w:rPr>
          <w:rFonts w:hint="eastAsia" w:ascii="宋体" w:hAnsi="宋体" w:eastAsia="宋体" w:cs="宋体"/>
          <w:sz w:val="24"/>
          <w:szCs w:val="24"/>
        </w:rPr>
        <w:br w:type="textWrapping"/>
      </w:r>
      <w:r>
        <w:rPr>
          <w:rFonts w:hint="eastAsia" w:ascii="宋体" w:hAnsi="宋体" w:eastAsia="宋体" w:cs="宋体"/>
          <w:sz w:val="24"/>
          <w:szCs w:val="24"/>
        </w:rPr>
        <w:t xml:space="preserve">定价：49.00 </w:t>
      </w:r>
      <w:r>
        <w:rPr>
          <w:rFonts w:hint="eastAsia" w:ascii="宋体" w:hAnsi="宋体" w:eastAsia="宋体" w:cs="宋体"/>
          <w:sz w:val="24"/>
          <w:szCs w:val="24"/>
        </w:rPr>
        <w:br w:type="textWrapping"/>
      </w:r>
      <w:r>
        <w:rPr>
          <w:rFonts w:hint="eastAsia" w:ascii="宋体" w:hAnsi="宋体" w:eastAsia="宋体" w:cs="宋体"/>
          <w:color w:val="auto"/>
          <w:sz w:val="24"/>
          <w:szCs w:val="24"/>
        </w:rPr>
        <w:t>出版日期：2019-08-16</w:t>
      </w:r>
    </w:p>
    <w:p>
      <w:pPr>
        <w:widowControl w:val="0"/>
        <w:numPr>
          <w:ilvl w:val="0"/>
          <w:numId w:val="0"/>
        </w:numPr>
        <w:ind w:firstLine="480" w:firstLineChars="200"/>
        <w:jc w:val="left"/>
        <w:rPr>
          <w:rFonts w:hint="eastAsia" w:ascii="宋体" w:hAnsi="宋体" w:eastAsia="宋体" w:cs="宋体"/>
          <w:b w:val="0"/>
          <w:bCs w:val="0"/>
          <w:i w:val="0"/>
          <w:caps w:val="0"/>
          <w:color w:val="auto"/>
          <w:spacing w:val="0"/>
          <w:sz w:val="24"/>
          <w:szCs w:val="24"/>
          <w:shd w:val="clear" w:fill="FFFFFF"/>
          <w:lang w:val="en-US" w:eastAsia="zh-CN"/>
        </w:rPr>
      </w:pPr>
      <w:r>
        <w:rPr>
          <w:rFonts w:hint="eastAsia" w:ascii="宋体" w:hAnsi="宋体" w:eastAsia="宋体" w:cs="宋体"/>
          <w:b w:val="0"/>
          <w:bCs w:val="0"/>
          <w:i w:val="0"/>
          <w:caps w:val="0"/>
          <w:color w:val="auto"/>
          <w:spacing w:val="0"/>
          <w:sz w:val="24"/>
          <w:szCs w:val="24"/>
          <w:shd w:val="clear" w:fill="FFFFFF"/>
          <w:lang w:val="en-US" w:eastAsia="zh-CN"/>
        </w:rPr>
        <w:t>本书以战略视角下的财务报表分析为引领，系统完善了企业财务状况质量分析理论，构建了基于中国情境的财务报表分析框架，将财务报表分析内容与现行会计准则的概念体系和报表体系紧密结合，将会计改革中蕴含的会计理念融入财务报表分析的相关环节，主要内容包括资产质量分析、资本结构质量分析、利润质量分析、现金流量质量分析及合并报表分析等。按照本书的分析框架，读者能够对中国企业的财务报表展开有效的分析和研究。</w:t>
      </w:r>
    </w:p>
    <w:p>
      <w:pPr>
        <w:widowControl w:val="0"/>
        <w:numPr>
          <w:ilvl w:val="0"/>
          <w:numId w:val="0"/>
        </w:numPr>
        <w:jc w:val="left"/>
      </w:pPr>
      <w:r>
        <w:drawing>
          <wp:inline distT="0" distB="0" distL="114300" distR="114300">
            <wp:extent cx="4255135" cy="5638800"/>
            <wp:effectExtent l="0" t="0" r="1206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255135" cy="5638800"/>
                    </a:xfrm>
                    <a:prstGeom prst="rect">
                      <a:avLst/>
                    </a:prstGeom>
                    <a:noFill/>
                    <a:ln>
                      <a:noFill/>
                    </a:ln>
                  </pic:spPr>
                </pic:pic>
              </a:graphicData>
            </a:graphic>
          </wp:inline>
        </w:drawing>
      </w: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1"/>
        </w:numPr>
        <w:ind w:left="0" w:leftChars="0" w:firstLine="0" w:firstLineChars="0"/>
        <w:jc w:val="left"/>
        <w:rPr>
          <w:rFonts w:hint="default" w:ascii="宋体" w:hAnsi="宋体" w:eastAsia="宋体" w:cs="宋体"/>
          <w:sz w:val="24"/>
          <w:szCs w:val="24"/>
          <w:lang w:val="en-US" w:eastAsia="zh-CN"/>
        </w:rPr>
      </w:pPr>
      <w:r>
        <w:rPr>
          <w:rFonts w:ascii="宋体" w:hAnsi="宋体" w:eastAsia="宋体" w:cs="宋体"/>
          <w:sz w:val="24"/>
          <w:szCs w:val="24"/>
        </w:rPr>
        <w:t>中级财务会计（第4版·立体化数字教材版）</w:t>
      </w:r>
      <w:r>
        <w:rPr>
          <w:rFonts w:ascii="宋体" w:hAnsi="宋体" w:eastAsia="宋体" w:cs="宋体"/>
          <w:sz w:val="24"/>
          <w:szCs w:val="24"/>
        </w:rPr>
        <w:br w:type="textWrapping"/>
      </w:r>
      <w:r>
        <w:rPr>
          <w:rFonts w:ascii="宋体" w:hAnsi="宋体" w:eastAsia="宋体" w:cs="宋体"/>
          <w:sz w:val="24"/>
          <w:szCs w:val="24"/>
        </w:rPr>
        <w:t>定价：52</w:t>
      </w:r>
      <w:r>
        <w:rPr>
          <w:rFonts w:hint="eastAsia" w:ascii="宋体" w:hAnsi="宋体" w:eastAsia="宋体" w:cs="宋体"/>
          <w:sz w:val="24"/>
          <w:szCs w:val="24"/>
          <w:lang w:val="en-US" w:eastAsia="zh-CN"/>
        </w:rPr>
        <w:t>.00</w:t>
      </w:r>
      <w:r>
        <w:rPr>
          <w:rFonts w:ascii="宋体" w:hAnsi="宋体" w:eastAsia="宋体" w:cs="宋体"/>
          <w:sz w:val="24"/>
          <w:szCs w:val="24"/>
        </w:rPr>
        <w:br w:type="textWrapping"/>
      </w:r>
      <w:r>
        <w:rPr>
          <w:rFonts w:ascii="宋体" w:hAnsi="宋体" w:eastAsia="宋体" w:cs="宋体"/>
          <w:sz w:val="24"/>
          <w:szCs w:val="24"/>
        </w:rPr>
        <w:t>出版时间：2020-01-08</w:t>
      </w:r>
      <w:r>
        <w:rPr>
          <w:rFonts w:ascii="宋体" w:hAnsi="宋体" w:eastAsia="宋体" w:cs="宋体"/>
          <w:sz w:val="24"/>
          <w:szCs w:val="24"/>
        </w:rPr>
        <w:br w:type="textWrapping"/>
      </w:r>
      <w:r>
        <w:rPr>
          <w:rFonts w:ascii="宋体" w:hAnsi="宋体" w:eastAsia="宋体" w:cs="宋体"/>
          <w:sz w:val="24"/>
          <w:szCs w:val="24"/>
        </w:rPr>
        <w:t>ISBN：978-7-300-27816-2</w:t>
      </w:r>
    </w:p>
    <w:p>
      <w:pPr>
        <w:widowControl w:val="0"/>
        <w:numPr>
          <w:numId w:val="0"/>
        </w:numPr>
        <w:ind w:leftChars="0" w:firstLine="480" w:firstLineChars="200"/>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本教材第3版出版以来，，财政部于2018年12月修订了《企业会计准则第21号——租赁》，对租赁的分类及会计处理进行了调整；2019年4月发布了《关于修订印发2019年度一般企业财务报表格式的通知》，对一般企业财务报表格式进行了修订；财政部、国家税务总局、海关总署于2019年3月联合发布《关于深化增值税改革有关政策的公告》，对增值税税率等进行了调整。基于上述情况的变化，为了满足教学需要，编者在第4版中修订了相关内容，并相应修订了课后练习题等相关资料。</w:t>
      </w:r>
    </w:p>
    <w:p>
      <w:pPr>
        <w:widowControl w:val="0"/>
        <w:numPr>
          <w:numId w:val="0"/>
        </w:numPr>
        <w:ind w:leftChars="0" w:firstLine="420" w:firstLineChars="200"/>
        <w:jc w:val="left"/>
      </w:pPr>
      <w:r>
        <w:drawing>
          <wp:inline distT="0" distB="0" distL="114300" distR="114300">
            <wp:extent cx="4248150" cy="5657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248150" cy="5657850"/>
                    </a:xfrm>
                    <a:prstGeom prst="rect">
                      <a:avLst/>
                    </a:prstGeom>
                    <a:noFill/>
                    <a:ln>
                      <a:noFill/>
                    </a:ln>
                  </pic:spPr>
                </pic:pic>
              </a:graphicData>
            </a:graphic>
          </wp:inline>
        </w:drawing>
      </w:r>
    </w:p>
    <w:p>
      <w:pPr>
        <w:widowControl w:val="0"/>
        <w:numPr>
          <w:numId w:val="0"/>
        </w:numPr>
        <w:ind w:leftChars="0" w:firstLine="420" w:firstLineChars="200"/>
        <w:jc w:val="left"/>
      </w:pPr>
    </w:p>
    <w:p>
      <w:pPr>
        <w:widowControl w:val="0"/>
        <w:numPr>
          <w:numId w:val="0"/>
        </w:numPr>
        <w:ind w:leftChars="0" w:firstLine="420" w:firstLineChars="200"/>
        <w:jc w:val="left"/>
      </w:pPr>
    </w:p>
    <w:p>
      <w:pPr>
        <w:widowControl w:val="0"/>
        <w:numPr>
          <w:numId w:val="0"/>
        </w:numPr>
        <w:ind w:leftChars="0" w:firstLine="420" w:firstLineChars="200"/>
        <w:jc w:val="left"/>
      </w:pPr>
    </w:p>
    <w:p>
      <w:pPr>
        <w:widowControl w:val="0"/>
        <w:numPr>
          <w:numId w:val="0"/>
        </w:numPr>
        <w:ind w:leftChars="0" w:firstLine="420" w:firstLineChars="20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宋体" w:hAnsi="宋体" w:eastAsia="宋体" w:cs="宋体"/>
          <w:b w:val="0"/>
          <w:bCs/>
          <w:i w:val="0"/>
          <w:caps w:val="0"/>
          <w:color w:val="auto"/>
          <w:spacing w:val="0"/>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i w:val="0"/>
          <w:caps w:val="0"/>
          <w:color w:val="auto"/>
          <w:spacing w:val="0"/>
          <w:sz w:val="24"/>
          <w:szCs w:val="24"/>
          <w:bdr w:val="none" w:color="auto" w:sz="0" w:space="0"/>
          <w:shd w:val="clear" w:fill="FFFFFF"/>
        </w:rPr>
        <w:t>管理沟通（教育部经济管理类核心课程教材）</w:t>
      </w:r>
    </w:p>
    <w:p>
      <w:pPr>
        <w:widowControl w:val="0"/>
        <w:numPr>
          <w:numId w:val="0"/>
        </w:numPr>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定价：42.00</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出版时间:2020年03月 </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9787300279183</w:t>
      </w: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管理沟通是众多商学院本科生和MBA的必修课程。本书是作者在长期从事管理沟通课程教学和研究、常年担任企业管理顾问的基础上编写的一本教材，以心理学、管理学、组织理论、人力资源管理、组织行为学和修辞学等学科和理论为基础，系统介绍了管理沟通的基本原理、策略，组织内沟通的内涵、策略和方法以及跨文化沟通等内容。</w:t>
      </w: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p>
    <w:p>
      <w:pPr>
        <w:widowControl w:val="0"/>
        <w:numPr>
          <w:numId w:val="0"/>
        </w:numPr>
        <w:ind w:firstLine="420" w:firstLineChars="200"/>
        <w:jc w:val="left"/>
      </w:pPr>
      <w:r>
        <w:drawing>
          <wp:inline distT="0" distB="0" distL="114300" distR="114300">
            <wp:extent cx="4171950" cy="56673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171950" cy="5667375"/>
                    </a:xfrm>
                    <a:prstGeom prst="rect">
                      <a:avLst/>
                    </a:prstGeom>
                    <a:noFill/>
                    <a:ln>
                      <a:noFill/>
                    </a:ln>
                  </pic:spPr>
                </pic:pic>
              </a:graphicData>
            </a:graphic>
          </wp:inline>
        </w:drawing>
      </w:r>
    </w:p>
    <w:p>
      <w:pPr>
        <w:widowControl w:val="0"/>
        <w:numPr>
          <w:numId w:val="0"/>
        </w:numPr>
        <w:ind w:firstLine="420" w:firstLineChars="200"/>
        <w:jc w:val="left"/>
      </w:pPr>
    </w:p>
    <w:p>
      <w:pPr>
        <w:widowControl w:val="0"/>
        <w:numPr>
          <w:numId w:val="0"/>
        </w:numPr>
        <w:ind w:firstLine="420" w:firstLineChars="200"/>
        <w:jc w:val="left"/>
      </w:pPr>
    </w:p>
    <w:p>
      <w:pPr>
        <w:widowControl w:val="0"/>
        <w:numPr>
          <w:numId w:val="0"/>
        </w:numPr>
        <w:ind w:firstLine="420" w:firstLineChars="200"/>
        <w:jc w:val="left"/>
      </w:pPr>
    </w:p>
    <w:p>
      <w:pPr>
        <w:widowControl w:val="0"/>
        <w:numPr>
          <w:numId w:val="0"/>
        </w:numPr>
        <w:ind w:firstLine="420" w:firstLineChars="20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宋体" w:hAnsi="宋体" w:eastAsia="宋体" w:cs="宋体"/>
          <w:b w:val="0"/>
          <w:bCs/>
          <w:i w:val="0"/>
          <w:caps w:val="0"/>
          <w:color w:val="auto"/>
          <w:spacing w:val="0"/>
          <w:sz w:val="24"/>
          <w:szCs w:val="24"/>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i w:val="0"/>
          <w:caps w:val="0"/>
          <w:color w:val="auto"/>
          <w:spacing w:val="0"/>
          <w:sz w:val="24"/>
          <w:szCs w:val="24"/>
          <w:bdr w:val="none" w:color="auto" w:sz="0" w:space="0"/>
          <w:shd w:val="clear" w:fill="FFFFFF"/>
        </w:rPr>
        <w:t>组织行为学(第5版)(教育部面向21世纪人力资源管理系列教材；面向21世纪课程教材) 刘智强、关培兰</w:t>
      </w:r>
    </w:p>
    <w:p>
      <w:pPr>
        <w:widowControl w:val="0"/>
        <w:numPr>
          <w:ilvl w:val="0"/>
          <w:numId w:val="0"/>
        </w:numPr>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定价：49.00</w:t>
      </w:r>
    </w:p>
    <w:p>
      <w:pPr>
        <w:widowControl w:val="0"/>
        <w:numPr>
          <w:ilvl w:val="0"/>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出版时间:2020年0</w:t>
      </w:r>
      <w:r>
        <w:rPr>
          <w:rFonts w:hint="eastAsia" w:ascii="宋体" w:hAnsi="宋体" w:eastAsia="宋体" w:cs="宋体"/>
          <w:b w:val="0"/>
          <w:bCs/>
          <w:i w:val="0"/>
          <w:caps w:val="0"/>
          <w:color w:val="auto"/>
          <w:spacing w:val="0"/>
          <w:sz w:val="24"/>
          <w:szCs w:val="24"/>
          <w:shd w:val="clear" w:fill="FFFFFF"/>
          <w:lang w:val="en-US" w:eastAsia="zh-CN"/>
        </w:rPr>
        <w:t>1</w:t>
      </w:r>
      <w:r>
        <w:rPr>
          <w:rFonts w:hint="eastAsia" w:ascii="宋体" w:hAnsi="宋体" w:eastAsia="宋体" w:cs="宋体"/>
          <w:b w:val="0"/>
          <w:bCs/>
          <w:i w:val="0"/>
          <w:caps w:val="0"/>
          <w:color w:val="auto"/>
          <w:spacing w:val="0"/>
          <w:sz w:val="24"/>
          <w:szCs w:val="24"/>
          <w:shd w:val="clear" w:fill="FFFFFF"/>
        </w:rPr>
        <w:t>月 </w:t>
      </w:r>
    </w:p>
    <w:p>
      <w:pPr>
        <w:widowControl w:val="0"/>
        <w:numPr>
          <w:ilvl w:val="0"/>
          <w:numId w:val="0"/>
        </w:numPr>
        <w:jc w:val="left"/>
        <w:rPr>
          <w:rFonts w:hint="eastAsia" w:ascii="宋体" w:hAnsi="宋体" w:eastAsia="宋体" w:cs="宋体"/>
          <w:b w:val="0"/>
          <w:bCs/>
          <w:i w:val="0"/>
          <w:caps w:val="0"/>
          <w:color w:val="auto"/>
          <w:spacing w:val="0"/>
          <w:sz w:val="24"/>
          <w:szCs w:val="24"/>
          <w:shd w:val="clear" w:fill="FFFFFF"/>
          <w:lang w:val="en-US" w:eastAsia="zh-CN"/>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w:t>
      </w:r>
      <w:r>
        <w:rPr>
          <w:rFonts w:hint="eastAsia" w:ascii="宋体" w:hAnsi="宋体" w:eastAsia="宋体" w:cs="宋体"/>
          <w:b w:val="0"/>
          <w:bCs/>
          <w:i w:val="0"/>
          <w:caps w:val="0"/>
          <w:color w:val="auto"/>
          <w:spacing w:val="0"/>
          <w:sz w:val="24"/>
          <w:szCs w:val="24"/>
          <w:shd w:val="clear" w:fill="FFFFFF"/>
          <w:lang w:val="en-US" w:eastAsia="zh-CN"/>
        </w:rPr>
        <w:t>277899</w:t>
      </w: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《组织行为学》凝聚了作者数十年组织行为学教学经验和研究成果之精华，初版于2003年，深受广大读者的好评，被众多高校选作教材。</w:t>
      </w:r>
      <w:r>
        <w:rPr>
          <w:rFonts w:hint="eastAsia" w:ascii="宋体" w:hAnsi="宋体" w:eastAsia="宋体" w:cs="宋体"/>
          <w:i w:val="0"/>
          <w:caps w:val="0"/>
          <w:color w:val="auto"/>
          <w:spacing w:val="0"/>
          <w:sz w:val="24"/>
          <w:szCs w:val="24"/>
          <w:bdr w:val="none" w:color="auto" w:sz="0" w:space="0"/>
          <w:shd w:val="clear" w:fill="FFFFFF"/>
        </w:rPr>
        <w:br w:type="textWrapping"/>
      </w:r>
      <w:r>
        <w:rPr>
          <w:rFonts w:hint="eastAsia" w:ascii="宋体" w:hAnsi="宋体" w:eastAsia="宋体" w:cs="宋体"/>
          <w:i w:val="0"/>
          <w:caps w:val="0"/>
          <w:color w:val="auto"/>
          <w:spacing w:val="0"/>
          <w:sz w:val="24"/>
          <w:szCs w:val="24"/>
          <w:shd w:val="clear" w:fill="FFFFFF"/>
        </w:rPr>
        <w:t>全书分为6篇16章，全面系统地探讨了组织行为学的理论和方法。每章章首设有本章重点、名人名言、引例，正文详述主题相关内容，章末安排关键术语、复习思考题、自我诊断、案例分析等，方便教师的教学安排，也有利于学生提升实际管理技能。</w:t>
      </w: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p>
    <w:p>
      <w:pPr>
        <w:widowControl w:val="0"/>
        <w:numPr>
          <w:numId w:val="0"/>
        </w:numPr>
        <w:ind w:firstLine="420" w:firstLineChars="200"/>
        <w:jc w:val="left"/>
      </w:pPr>
      <w:r>
        <w:drawing>
          <wp:inline distT="0" distB="0" distL="114300" distR="114300">
            <wp:extent cx="4293235" cy="61321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293235" cy="6132195"/>
                    </a:xfrm>
                    <a:prstGeom prst="rect">
                      <a:avLst/>
                    </a:prstGeom>
                    <a:noFill/>
                    <a:ln>
                      <a:noFill/>
                    </a:ln>
                  </pic:spPr>
                </pic:pic>
              </a:graphicData>
            </a:graphic>
          </wp:inline>
        </w:drawing>
      </w:r>
    </w:p>
    <w:p>
      <w:pPr>
        <w:widowControl w:val="0"/>
        <w:numPr>
          <w:numId w:val="0"/>
        </w:numPr>
        <w:ind w:firstLine="420" w:firstLineChars="20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宋体" w:hAnsi="宋体" w:eastAsia="宋体" w:cs="宋体"/>
          <w:b w:val="0"/>
          <w:bCs/>
          <w:i w:val="0"/>
          <w:caps w:val="0"/>
          <w:color w:val="auto"/>
          <w:spacing w:val="0"/>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i w:val="0"/>
          <w:caps w:val="0"/>
          <w:color w:val="auto"/>
          <w:spacing w:val="0"/>
          <w:sz w:val="24"/>
          <w:szCs w:val="24"/>
          <w:bdr w:val="none" w:color="auto" w:sz="0" w:space="0"/>
          <w:shd w:val="clear" w:fill="FFFFFF"/>
        </w:rPr>
        <w:t>市场营销学通论（第8版）（21世纪市场营销系列教材；“十二五”普通高等教育本科国家级规划教材；教育部普通高等教育精品教材</w:t>
      </w:r>
      <w:r>
        <w:rPr>
          <w:rFonts w:hint="eastAsia" w:ascii="宋体" w:hAnsi="宋体" w:eastAsia="宋体" w:cs="宋体"/>
          <w:b w:val="0"/>
          <w:bCs/>
          <w:i w:val="0"/>
          <w:caps w:val="0"/>
          <w:color w:val="auto"/>
          <w:spacing w:val="0"/>
          <w:sz w:val="24"/>
          <w:szCs w:val="24"/>
          <w:bdr w:val="none" w:color="auto" w:sz="0" w:space="0"/>
          <w:shd w:val="clear" w:fill="FFFFFF"/>
          <w:lang w:eastAsia="zh-CN"/>
        </w:rPr>
        <w:t>）郭国庆</w:t>
      </w:r>
    </w:p>
    <w:p>
      <w:pPr>
        <w:widowControl w:val="0"/>
        <w:numPr>
          <w:ilvl w:val="0"/>
          <w:numId w:val="0"/>
        </w:numPr>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定价：49.00</w:t>
      </w:r>
    </w:p>
    <w:p>
      <w:pPr>
        <w:widowControl w:val="0"/>
        <w:numPr>
          <w:ilvl w:val="0"/>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出版时间:2020年0</w:t>
      </w:r>
      <w:r>
        <w:rPr>
          <w:rFonts w:hint="eastAsia" w:ascii="宋体" w:hAnsi="宋体" w:eastAsia="宋体" w:cs="宋体"/>
          <w:b w:val="0"/>
          <w:bCs/>
          <w:i w:val="0"/>
          <w:caps w:val="0"/>
          <w:color w:val="auto"/>
          <w:spacing w:val="0"/>
          <w:sz w:val="24"/>
          <w:szCs w:val="24"/>
          <w:shd w:val="clear" w:fill="FFFFFF"/>
          <w:lang w:val="en-US" w:eastAsia="zh-CN"/>
        </w:rPr>
        <w:t>1</w:t>
      </w:r>
      <w:r>
        <w:rPr>
          <w:rFonts w:hint="eastAsia" w:ascii="宋体" w:hAnsi="宋体" w:eastAsia="宋体" w:cs="宋体"/>
          <w:b w:val="0"/>
          <w:bCs/>
          <w:i w:val="0"/>
          <w:caps w:val="0"/>
          <w:color w:val="auto"/>
          <w:spacing w:val="0"/>
          <w:sz w:val="24"/>
          <w:szCs w:val="24"/>
          <w:shd w:val="clear" w:fill="FFFFFF"/>
        </w:rPr>
        <w:t>月 </w:t>
      </w:r>
    </w:p>
    <w:p>
      <w:pPr>
        <w:widowControl w:val="0"/>
        <w:numPr>
          <w:ilvl w:val="0"/>
          <w:numId w:val="0"/>
        </w:numPr>
        <w:jc w:val="left"/>
        <w:rPr>
          <w:rFonts w:hint="eastAsia" w:ascii="宋体" w:hAnsi="宋体" w:eastAsia="宋体" w:cs="宋体"/>
          <w:b w:val="0"/>
          <w:bCs/>
          <w:i w:val="0"/>
          <w:caps w:val="0"/>
          <w:color w:val="auto"/>
          <w:spacing w:val="0"/>
          <w:sz w:val="24"/>
          <w:szCs w:val="24"/>
          <w:shd w:val="clear" w:fill="FFFFFF"/>
          <w:lang w:val="en-US" w:eastAsia="zh-CN"/>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w:t>
      </w:r>
      <w:r>
        <w:rPr>
          <w:rFonts w:hint="eastAsia" w:ascii="宋体" w:hAnsi="宋体" w:eastAsia="宋体" w:cs="宋体"/>
          <w:b w:val="0"/>
          <w:bCs/>
          <w:i w:val="0"/>
          <w:caps w:val="0"/>
          <w:color w:val="auto"/>
          <w:spacing w:val="0"/>
          <w:sz w:val="24"/>
          <w:szCs w:val="24"/>
          <w:shd w:val="clear" w:fill="FFFFFF"/>
          <w:lang w:val="en-US" w:eastAsia="zh-CN"/>
        </w:rPr>
        <w:t>277868</w:t>
      </w:r>
    </w:p>
    <w:p>
      <w:pPr>
        <w:widowControl w:val="0"/>
        <w:numPr>
          <w:ilvl w:val="0"/>
          <w:numId w:val="0"/>
        </w:numPr>
        <w:jc w:val="left"/>
        <w:rPr>
          <w:rFonts w:hint="eastAsia" w:ascii="宋体" w:hAnsi="宋体" w:eastAsia="宋体" w:cs="宋体"/>
          <w:b w:val="0"/>
          <w:bCs/>
          <w:i w:val="0"/>
          <w:caps w:val="0"/>
          <w:color w:val="auto"/>
          <w:spacing w:val="0"/>
          <w:sz w:val="24"/>
          <w:szCs w:val="24"/>
          <w:shd w:val="clear" w:fill="FFFFFF"/>
          <w:lang w:val="en-US" w:eastAsia="zh-CN"/>
        </w:rPr>
      </w:pPr>
      <w:r>
        <w:rPr>
          <w:rFonts w:hint="eastAsia" w:ascii="宋体" w:hAnsi="宋体" w:eastAsia="宋体" w:cs="宋体"/>
          <w:b w:val="0"/>
          <w:bCs/>
          <w:i w:val="0"/>
          <w:caps w:val="0"/>
          <w:color w:val="auto"/>
          <w:spacing w:val="0"/>
          <w:sz w:val="24"/>
          <w:szCs w:val="24"/>
          <w:shd w:val="clear" w:fill="FFFFFF"/>
        </w:rPr>
        <w:t>作者以习近平新时代中国特色社会主义思想为指导，对《市场营销学通论》（第7版）进行了修订和完善。第8版全面系统地介绍了市场营销的基本概念、理论和方法，采用定性与定量相结合的方法，准确地阐述市场营销原理，体现营销学科的科学性。全书补充了市场营销学的新理论及新发展，尤其是数字化带来的新挑战；在借鉴国内外营销学界新成果的基础上，根据中国企业营销实践的现实，对各章节的重点难点问题均配套相应的全新案例，使读者易于学习和应用。</w:t>
      </w:r>
    </w:p>
    <w:p>
      <w:pPr>
        <w:widowControl w:val="0"/>
        <w:numPr>
          <w:ilvl w:val="0"/>
          <w:numId w:val="0"/>
        </w:numPr>
        <w:jc w:val="left"/>
        <w:rPr>
          <w:rFonts w:hint="default" w:ascii="宋体" w:hAnsi="宋体" w:eastAsia="宋体" w:cs="宋体"/>
          <w:b w:val="0"/>
          <w:bCs/>
          <w:i w:val="0"/>
          <w:caps w:val="0"/>
          <w:color w:val="auto"/>
          <w:spacing w:val="0"/>
          <w:sz w:val="24"/>
          <w:szCs w:val="24"/>
          <w:shd w:val="clear" w:fill="FFFFFF"/>
          <w:lang w:val="en-US" w:eastAsia="zh-CN"/>
        </w:rPr>
      </w:pPr>
      <w:r>
        <w:drawing>
          <wp:inline distT="0" distB="0" distL="114300" distR="114300">
            <wp:extent cx="4497070" cy="5741035"/>
            <wp:effectExtent l="0" t="0" r="1778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4497070" cy="5741035"/>
                    </a:xfrm>
                    <a:prstGeom prst="rect">
                      <a:avLst/>
                    </a:prstGeom>
                    <a:noFill/>
                    <a:ln>
                      <a:noFill/>
                    </a:ln>
                  </pic:spPr>
                </pic:pic>
              </a:graphicData>
            </a:graphic>
          </wp:inline>
        </w:drawing>
      </w:r>
    </w:p>
    <w:p>
      <w:pPr>
        <w:widowControl w:val="0"/>
        <w:numPr>
          <w:numId w:val="0"/>
        </w:numPr>
        <w:ind w:firstLine="420" w:firstLineChars="200"/>
        <w:jc w:val="left"/>
        <w:rPr>
          <w:rFonts w:hint="default" w:eastAsiaTheme="minorEastAsia"/>
          <w:lang w:val="en-US" w:eastAsia="zh-CN"/>
        </w:rPr>
      </w:pPr>
    </w:p>
    <w:p>
      <w:pPr>
        <w:widowControl w:val="0"/>
        <w:numPr>
          <w:numId w:val="0"/>
        </w:numPr>
        <w:ind w:firstLine="420" w:firstLineChars="200"/>
        <w:jc w:val="left"/>
        <w:rPr>
          <w:rFonts w:hint="default" w:eastAsiaTheme="minorEastAsia"/>
          <w:lang w:val="en-US" w:eastAsia="zh-CN"/>
        </w:rPr>
      </w:pPr>
    </w:p>
    <w:p>
      <w:pPr>
        <w:widowControl w:val="0"/>
        <w:numPr>
          <w:numId w:val="0"/>
        </w:numPr>
        <w:ind w:firstLine="420" w:firstLineChars="200"/>
        <w:jc w:val="left"/>
        <w:rPr>
          <w:rFonts w:hint="default" w:eastAsiaTheme="minor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宋体" w:hAnsi="宋体" w:eastAsia="宋体" w:cs="宋体"/>
          <w:b w:val="0"/>
          <w:bCs/>
          <w:i w:val="0"/>
          <w:caps w:val="0"/>
          <w:color w:val="auto"/>
          <w:spacing w:val="0"/>
          <w:sz w:val="24"/>
          <w:szCs w:val="24"/>
          <w:lang w:val="en-US" w:eastAsia="zh-CN"/>
        </w:rPr>
      </w:pPr>
      <w:r>
        <w:rPr>
          <w:rFonts w:hint="eastAsia" w:ascii="宋体" w:hAnsi="宋体" w:eastAsia="宋体" w:cs="宋体"/>
          <w:b w:val="0"/>
          <w:bCs/>
          <w:color w:val="auto"/>
          <w:sz w:val="24"/>
          <w:szCs w:val="24"/>
          <w:lang w:val="en-US" w:eastAsia="zh-CN"/>
        </w:rPr>
        <w:t>7.</w:t>
      </w:r>
      <w:r>
        <w:rPr>
          <w:rFonts w:hint="eastAsia" w:ascii="宋体" w:hAnsi="宋体" w:eastAsia="宋体" w:cs="宋体"/>
          <w:b w:val="0"/>
          <w:bCs/>
          <w:i w:val="0"/>
          <w:caps w:val="0"/>
          <w:color w:val="auto"/>
          <w:spacing w:val="0"/>
          <w:sz w:val="24"/>
          <w:szCs w:val="24"/>
          <w:bdr w:val="none" w:color="auto" w:sz="0" w:space="0"/>
          <w:shd w:val="clear" w:fill="FFFFFF"/>
        </w:rPr>
        <w:t>传媒经济学教程（第二版）（新编21世纪新闻传播学系列教材；“十二五”普通高等教育本科国家级规划教材）</w:t>
      </w:r>
      <w:r>
        <w:rPr>
          <w:rFonts w:hint="eastAsia" w:cs="宋体"/>
          <w:b w:val="0"/>
          <w:bCs/>
          <w:i w:val="0"/>
          <w:caps w:val="0"/>
          <w:color w:val="auto"/>
          <w:spacing w:val="0"/>
          <w:sz w:val="24"/>
          <w:szCs w:val="24"/>
          <w:bdr w:val="none" w:color="auto" w:sz="0" w:space="0"/>
          <w:shd w:val="clear" w:fill="FFFFFF"/>
          <w:lang w:val="en-US" w:eastAsia="zh-CN"/>
        </w:rPr>
        <w:t>49.80</w:t>
      </w:r>
    </w:p>
    <w:p>
      <w:pPr>
        <w:widowControl w:val="0"/>
        <w:numPr>
          <w:numId w:val="0"/>
        </w:numPr>
        <w:jc w:val="left"/>
        <w:rPr>
          <w:rFonts w:hint="eastAsia" w:ascii="宋体" w:hAnsi="宋体" w:eastAsia="宋体" w:cs="宋体"/>
          <w:i w:val="0"/>
          <w:caps w:val="0"/>
          <w:color w:val="auto"/>
          <w:spacing w:val="0"/>
          <w:sz w:val="24"/>
          <w:szCs w:val="24"/>
          <w:u w:val="none"/>
          <w:bdr w:val="none" w:color="auto" w:sz="0" w:space="0"/>
          <w:shd w:val="clear" w:fill="FFFFFF"/>
        </w:rPr>
      </w:pPr>
      <w:r>
        <w:rPr>
          <w:rFonts w:hint="eastAsia" w:ascii="宋体" w:hAnsi="宋体" w:eastAsia="宋体" w:cs="宋体"/>
          <w:b w:val="0"/>
          <w:bCs/>
          <w:i w:val="0"/>
          <w:caps w:val="0"/>
          <w:color w:val="auto"/>
          <w:spacing w:val="0"/>
          <w:sz w:val="24"/>
          <w:szCs w:val="24"/>
          <w:shd w:val="clear" w:fill="FFFFFF"/>
        </w:rPr>
        <w:t>作者:</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"http://search.dangdang.com/?key2=%D3%F7%B9%FA%C3%F7&amp;medium=01&amp;category_path=01.00.00.00.00.00"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喻国明</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 </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"http://search.dangdang.com/?key2=%B6%A1%BA%BA%C7%E0&amp;medium=01&amp;category_path=01.00.00.00.00.00"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丁汉青</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 </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"http://search.dangdang.com/?key2=%D6%A7%CD%A5%C8%D9&amp;medium=01&amp;category_path=01.00.00.00.00.00"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支庭荣</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 </w:t>
      </w:r>
      <w:r>
        <w:rPr>
          <w:rFonts w:hint="eastAsia" w:ascii="宋体" w:hAnsi="宋体" w:eastAsia="宋体" w:cs="宋体"/>
          <w:i w:val="0"/>
          <w:caps w:val="0"/>
          <w:color w:val="auto"/>
          <w:spacing w:val="0"/>
          <w:sz w:val="24"/>
          <w:szCs w:val="24"/>
          <w:u w:val="none"/>
          <w:bdr w:val="none" w:color="auto" w:sz="0" w:space="0"/>
          <w:shd w:val="clear" w:fill="FFFFFF"/>
        </w:rPr>
        <w:fldChar w:fldCharType="begin"/>
      </w:r>
      <w:r>
        <w:rPr>
          <w:rFonts w:hint="eastAsia" w:ascii="宋体" w:hAnsi="宋体" w:eastAsia="宋体" w:cs="宋体"/>
          <w:i w:val="0"/>
          <w:caps w:val="0"/>
          <w:color w:val="auto"/>
          <w:spacing w:val="0"/>
          <w:sz w:val="24"/>
          <w:szCs w:val="24"/>
          <w:u w:val="none"/>
          <w:bdr w:val="none" w:color="auto" w:sz="0" w:space="0"/>
          <w:shd w:val="clear" w:fill="FFFFFF"/>
        </w:rPr>
        <w:instrText xml:space="preserve"> HYPERLINK "http://search.dangdang.com/?key2=%B3%C2%C8%F0&amp;medium=01&amp;category_path=01.00.00.00.00.00" \t "http://product.dangdang.com/_blank" </w:instrText>
      </w:r>
      <w:r>
        <w:rPr>
          <w:rFonts w:hint="eastAsia" w:ascii="宋体" w:hAnsi="宋体" w:eastAsia="宋体" w:cs="宋体"/>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i w:val="0"/>
          <w:caps w:val="0"/>
          <w:color w:val="auto"/>
          <w:spacing w:val="0"/>
          <w:sz w:val="24"/>
          <w:szCs w:val="24"/>
          <w:u w:val="none"/>
          <w:bdr w:val="none" w:color="auto" w:sz="0" w:space="0"/>
          <w:shd w:val="clear" w:fill="FFFFFF"/>
        </w:rPr>
        <w:t>陈瑞</w:t>
      </w:r>
      <w:r>
        <w:rPr>
          <w:rFonts w:hint="eastAsia" w:ascii="宋体" w:hAnsi="宋体" w:eastAsia="宋体" w:cs="宋体"/>
          <w:i w:val="0"/>
          <w:caps w:val="0"/>
          <w:color w:val="auto"/>
          <w:spacing w:val="0"/>
          <w:sz w:val="24"/>
          <w:szCs w:val="24"/>
          <w:u w:val="none"/>
          <w:bdr w:val="none" w:color="auto" w:sz="0" w:space="0"/>
          <w:shd w:val="clear" w:fill="FFFFFF"/>
        </w:rPr>
        <w:fldChar w:fldCharType="end"/>
      </w:r>
      <w:r>
        <w:rPr>
          <w:rFonts w:hint="eastAsia" w:ascii="宋体" w:hAnsi="宋体" w:eastAsia="宋体" w:cs="宋体"/>
          <w:i w:val="0"/>
          <w:caps w:val="0"/>
          <w:color w:val="auto"/>
          <w:spacing w:val="0"/>
          <w:sz w:val="24"/>
          <w:szCs w:val="24"/>
          <w:shd w:val="clear" w:fill="FFFFFF"/>
        </w:rPr>
        <w:t> </w:t>
      </w:r>
      <w:r>
        <w:rPr>
          <w:rFonts w:hint="eastAsia" w:ascii="宋体" w:hAnsi="宋体" w:eastAsia="宋体" w:cs="宋体"/>
          <w:i w:val="0"/>
          <w:caps w:val="0"/>
          <w:color w:val="auto"/>
          <w:spacing w:val="0"/>
          <w:sz w:val="24"/>
          <w:szCs w:val="24"/>
          <w:u w:val="none"/>
          <w:bdr w:val="none" w:color="auto" w:sz="0" w:space="0"/>
          <w:shd w:val="clear" w:fill="FFFFFF"/>
        </w:rPr>
        <w:fldChar w:fldCharType="begin"/>
      </w:r>
      <w:r>
        <w:rPr>
          <w:rFonts w:hint="eastAsia" w:ascii="宋体" w:hAnsi="宋体" w:eastAsia="宋体" w:cs="宋体"/>
          <w:i w:val="0"/>
          <w:caps w:val="0"/>
          <w:color w:val="auto"/>
          <w:spacing w:val="0"/>
          <w:sz w:val="24"/>
          <w:szCs w:val="24"/>
          <w:u w:val="none"/>
          <w:bdr w:val="none" w:color="auto" w:sz="0" w:space="0"/>
          <w:shd w:val="clear" w:fill="FFFFFF"/>
        </w:rPr>
        <w:instrText xml:space="preserve"> HYPERLINK "http://search.dangdang.com/?key2=%C7%FA%BB%DB&amp;medium=01&amp;category_path=01.00.00.00.00.00" \t "http://product.dangdang.com/_blank" </w:instrText>
      </w:r>
      <w:r>
        <w:rPr>
          <w:rFonts w:hint="eastAsia" w:ascii="宋体" w:hAnsi="宋体" w:eastAsia="宋体" w:cs="宋体"/>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i w:val="0"/>
          <w:caps w:val="0"/>
          <w:color w:val="auto"/>
          <w:spacing w:val="0"/>
          <w:sz w:val="24"/>
          <w:szCs w:val="24"/>
          <w:u w:val="none"/>
          <w:bdr w:val="none" w:color="auto" w:sz="0" w:space="0"/>
          <w:shd w:val="clear" w:fill="FFFFFF"/>
        </w:rPr>
        <w:t>曲慧</w:t>
      </w:r>
      <w:r>
        <w:rPr>
          <w:rFonts w:hint="eastAsia" w:ascii="宋体" w:hAnsi="宋体" w:eastAsia="宋体" w:cs="宋体"/>
          <w:i w:val="0"/>
          <w:caps w:val="0"/>
          <w:color w:val="auto"/>
          <w:spacing w:val="0"/>
          <w:sz w:val="24"/>
          <w:szCs w:val="24"/>
          <w:u w:val="none"/>
          <w:bdr w:val="none" w:color="auto" w:sz="0" w:space="0"/>
          <w:shd w:val="clear" w:fill="FFFFFF"/>
        </w:rPr>
        <w:fldChar w:fldCharType="end"/>
      </w:r>
    </w:p>
    <w:p>
      <w:pPr>
        <w:widowControl w:val="0"/>
        <w:numPr>
          <w:numId w:val="0"/>
        </w:numPr>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出</w:t>
      </w:r>
      <w:r>
        <w:rPr>
          <w:rFonts w:hint="eastAsia" w:ascii="宋体" w:hAnsi="宋体" w:eastAsia="宋体" w:cs="宋体"/>
          <w:i w:val="0"/>
          <w:caps w:val="0"/>
          <w:color w:val="auto"/>
          <w:spacing w:val="0"/>
          <w:sz w:val="24"/>
          <w:szCs w:val="24"/>
          <w:shd w:val="clear" w:fill="FFFFFF"/>
          <w:lang w:eastAsia="zh-CN"/>
        </w:rPr>
        <w:t>版</w:t>
      </w:r>
      <w:r>
        <w:rPr>
          <w:rFonts w:hint="eastAsia" w:ascii="宋体" w:hAnsi="宋体" w:eastAsia="宋体" w:cs="宋体"/>
          <w:i w:val="0"/>
          <w:caps w:val="0"/>
          <w:color w:val="auto"/>
          <w:spacing w:val="0"/>
          <w:sz w:val="24"/>
          <w:szCs w:val="24"/>
          <w:shd w:val="clear" w:fill="FFFFFF"/>
        </w:rPr>
        <w:t>时间:2019年12月</w:t>
      </w:r>
    </w:p>
    <w:p>
      <w:pPr>
        <w:widowControl w:val="0"/>
        <w:numPr>
          <w:numId w:val="0"/>
        </w:numPr>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ISBN：9787300278476</w:t>
      </w:r>
    </w:p>
    <w:p>
      <w:pPr>
        <w:widowControl w:val="0"/>
        <w:numPr>
          <w:numId w:val="0"/>
        </w:numPr>
        <w:ind w:firstLine="480" w:firstLineChars="200"/>
        <w:jc w:val="left"/>
        <w:rPr>
          <w:rFonts w:hint="eastAsia" w:ascii="宋体" w:hAnsi="宋体" w:eastAsia="宋体" w:cs="宋体"/>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本教材以微观经济学为基本分析框架，致力于回答传媒业“生产什么”“怎么生产”“为谁生产”等基本问题。在回答上述基本问题时，紧扣传媒特殊性，立足现实，阐述了传媒生产场域中多种力量间的作用机制、传媒双边市场与平台经济、传媒领域内的市场失灵与政府规制、新技术与媒介融合、传媒消费者等方面的问题。</w:t>
      </w:r>
      <w:r>
        <w:rPr>
          <w:rFonts w:hint="eastAsia" w:ascii="宋体" w:hAnsi="宋体" w:eastAsia="宋体" w:cs="宋体"/>
          <w:i w:val="0"/>
          <w:caps w:val="0"/>
          <w:color w:val="auto"/>
          <w:spacing w:val="0"/>
          <w:sz w:val="24"/>
          <w:szCs w:val="24"/>
          <w:bdr w:val="none" w:color="auto" w:sz="0" w:space="0"/>
          <w:shd w:val="clear" w:fill="FFFFFF"/>
        </w:rPr>
        <w:br w:type="textWrapping"/>
      </w:r>
      <w:r>
        <w:rPr>
          <w:rFonts w:hint="eastAsia" w:ascii="宋体" w:hAnsi="宋体" w:eastAsia="宋体" w:cs="宋体"/>
          <w:i w:val="0"/>
          <w:caps w:val="0"/>
          <w:color w:val="auto"/>
          <w:spacing w:val="0"/>
          <w:sz w:val="24"/>
          <w:szCs w:val="24"/>
          <w:bdr w:val="none" w:color="auto" w:sz="0" w:space="0"/>
          <w:shd w:val="clear" w:fill="FFFFFF"/>
          <w:lang w:val="en-US" w:eastAsia="zh-CN"/>
        </w:rPr>
        <w:t xml:space="preserve">  </w:t>
      </w:r>
      <w:r>
        <w:rPr>
          <w:rFonts w:hint="eastAsia" w:ascii="宋体" w:hAnsi="宋体" w:eastAsia="宋体" w:cs="宋体"/>
          <w:i w:val="0"/>
          <w:caps w:val="0"/>
          <w:color w:val="auto"/>
          <w:spacing w:val="0"/>
          <w:sz w:val="24"/>
          <w:szCs w:val="24"/>
          <w:shd w:val="clear" w:fill="FFFFFF"/>
        </w:rPr>
        <w:t>除关注上述基本问题外，第二版高瞻远瞩地透视了传媒产业经济的本质，并分析了人工智能时代新技术给传媒业带来的新的赋权逻辑，进而展望传媒业未来的发展图景。</w:t>
      </w:r>
    </w:p>
    <w:p>
      <w:pPr>
        <w:widowControl w:val="0"/>
        <w:numPr>
          <w:numId w:val="0"/>
        </w:numPr>
        <w:ind w:firstLine="420" w:firstLineChars="200"/>
        <w:jc w:val="left"/>
      </w:pPr>
      <w:r>
        <w:drawing>
          <wp:inline distT="0" distB="0" distL="114300" distR="114300">
            <wp:extent cx="4408805" cy="5713095"/>
            <wp:effectExtent l="0" t="0" r="10795"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4408805" cy="5713095"/>
                    </a:xfrm>
                    <a:prstGeom prst="rect">
                      <a:avLst/>
                    </a:prstGeom>
                    <a:noFill/>
                    <a:ln>
                      <a:noFill/>
                    </a:ln>
                  </pic:spPr>
                </pic:pic>
              </a:graphicData>
            </a:graphic>
          </wp:inline>
        </w:drawing>
      </w:r>
    </w:p>
    <w:p>
      <w:pPr>
        <w:widowControl w:val="0"/>
        <w:numPr>
          <w:numId w:val="0"/>
        </w:numPr>
        <w:ind w:firstLine="420" w:firstLineChars="200"/>
        <w:jc w:val="left"/>
      </w:pPr>
    </w:p>
    <w:p>
      <w:pPr>
        <w:widowControl w:val="0"/>
        <w:numPr>
          <w:numId w:val="0"/>
        </w:numPr>
        <w:ind w:firstLine="420" w:firstLineChars="200"/>
        <w:jc w:val="left"/>
      </w:pP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bdr w:val="none" w:color="auto" w:sz="0" w:space="0"/>
          <w:shd w:val="clear" w:fill="FFFFFF"/>
        </w:rPr>
        <w:t xml:space="preserve">出镜报道（第二版）（新编21世纪新闻传播学系列教材） </w:t>
      </w:r>
      <w:r>
        <w:rPr>
          <w:rFonts w:hint="eastAsia" w:cs="宋体"/>
          <w:b w:val="0"/>
          <w:bCs/>
          <w:i w:val="0"/>
          <w:caps w:val="0"/>
          <w:color w:val="auto"/>
          <w:spacing w:val="0"/>
          <w:sz w:val="24"/>
          <w:szCs w:val="24"/>
          <w:bdr w:val="none" w:color="auto" w:sz="0" w:space="0"/>
          <w:shd w:val="clear" w:fill="FFFFFF"/>
          <w:lang w:val="en-US" w:eastAsia="zh-CN"/>
        </w:rPr>
        <w:t>49.80</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Chars="0" w:right="0" w:rightChars="0"/>
        <w:outlineLvl w:val="0"/>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bdr w:val="none" w:color="auto" w:sz="0" w:space="0"/>
          <w:shd w:val="clear" w:fill="FFFFFF"/>
          <w:lang w:eastAsia="zh-CN"/>
        </w:rPr>
        <w:t>作者：</w:t>
      </w:r>
      <w:r>
        <w:rPr>
          <w:rFonts w:hint="eastAsia" w:ascii="宋体" w:hAnsi="宋体" w:eastAsia="宋体" w:cs="宋体"/>
          <w:b w:val="0"/>
          <w:bCs/>
          <w:i w:val="0"/>
          <w:caps w:val="0"/>
          <w:color w:val="auto"/>
          <w:spacing w:val="0"/>
          <w:sz w:val="24"/>
          <w:szCs w:val="24"/>
          <w:bdr w:val="none" w:color="auto" w:sz="0" w:space="0"/>
          <w:shd w:val="clear" w:fill="FFFFFF"/>
        </w:rPr>
        <w:t xml:space="preserve"> 张超 </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Chars="0" w:right="0" w:rightChars="0"/>
        <w:outlineLvl w:val="0"/>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出版时间:2020年02月</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：9787300278889</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镜报道》结合传播学、语言学、社会学、叙事学等理论探讨出镜报道的传播规律，通过大量实战案例系统介绍出镜报道的相关知识，涉及从准备到出镜的各环节，理论与实践并重，是国内为数不多的出镜报道专著兼教材。本书特点如下: 案例丰富:数百个国内外出镜报道案例，涵盖出镜记者遇到的大部分问题。可视性强:代表性案例皆有图片、视频链接或二维码，可帮助读者迅速、直观地掌握学习 要点。论述集中:各篇章紧密围绕出镜记者和出镜报道展开，干货多、主题集中、信息量大。观点新颖:汇集国内外一线的观点与争鸣，对出镜报道业务有独到见解。</w:t>
      </w:r>
    </w:p>
    <w:p>
      <w:pPr>
        <w:widowControl w:val="0"/>
        <w:numPr>
          <w:numId w:val="0"/>
        </w:numPr>
        <w:jc w:val="left"/>
      </w:pPr>
      <w:r>
        <w:drawing>
          <wp:inline distT="0" distB="0" distL="114300" distR="114300">
            <wp:extent cx="4502150" cy="6038850"/>
            <wp:effectExtent l="0" t="0" r="1270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4502150" cy="6038850"/>
                    </a:xfrm>
                    <a:prstGeom prst="rect">
                      <a:avLst/>
                    </a:prstGeom>
                    <a:noFill/>
                    <a:ln>
                      <a:noFill/>
                    </a:ln>
                  </pic:spPr>
                </pic:pic>
              </a:graphicData>
            </a:graphic>
          </wp:inline>
        </w:drawing>
      </w:r>
    </w:p>
    <w:p>
      <w:pPr>
        <w:widowControl w:val="0"/>
        <w:numPr>
          <w:numId w:val="0"/>
        </w:numPr>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宋体" w:hAnsi="宋体" w:eastAsia="宋体" w:cs="宋体"/>
          <w:b w:val="0"/>
          <w:bCs/>
          <w:i w:val="0"/>
          <w:caps w:val="0"/>
          <w:color w:val="auto"/>
          <w:spacing w:val="0"/>
          <w:sz w:val="24"/>
          <w:szCs w:val="24"/>
          <w:lang w:val="en-US" w:eastAsia="zh-CN"/>
        </w:rPr>
      </w:pPr>
      <w:r>
        <w:rPr>
          <w:rFonts w:hint="eastAsia" w:ascii="宋体" w:hAnsi="宋体" w:eastAsia="宋体" w:cs="宋体"/>
          <w:b w:val="0"/>
          <w:bCs/>
          <w:color w:val="auto"/>
          <w:sz w:val="24"/>
          <w:szCs w:val="24"/>
          <w:lang w:val="en-US" w:eastAsia="zh-CN"/>
        </w:rPr>
        <w:t>9.</w:t>
      </w:r>
      <w:r>
        <w:rPr>
          <w:rFonts w:hint="eastAsia" w:ascii="宋体" w:hAnsi="宋体" w:eastAsia="宋体" w:cs="宋体"/>
          <w:b w:val="0"/>
          <w:bCs/>
          <w:i w:val="0"/>
          <w:caps w:val="0"/>
          <w:color w:val="auto"/>
          <w:spacing w:val="0"/>
          <w:sz w:val="24"/>
          <w:szCs w:val="24"/>
          <w:bdr w:val="none" w:color="auto" w:sz="0" w:space="0"/>
          <w:shd w:val="clear" w:fill="FFFFFF"/>
        </w:rPr>
        <w:t>网络传播导论(第3版21世纪新媒体专业系列教材十二五普通高等教育本科*规划教材)</w:t>
      </w:r>
      <w:r>
        <w:rPr>
          <w:rFonts w:hint="eastAsia" w:cs="宋体"/>
          <w:b w:val="0"/>
          <w:bCs/>
          <w:i w:val="0"/>
          <w:caps w:val="0"/>
          <w:color w:val="auto"/>
          <w:spacing w:val="0"/>
          <w:sz w:val="24"/>
          <w:szCs w:val="24"/>
          <w:bdr w:val="none" w:color="auto" w:sz="0" w:space="0"/>
          <w:shd w:val="clear" w:fill="FFFFFF"/>
          <w:lang w:val="en-US" w:eastAsia="zh-CN"/>
        </w:rPr>
        <w:t>49.80</w:t>
      </w:r>
    </w:p>
    <w:p>
      <w:pPr>
        <w:widowControl w:val="0"/>
        <w:numPr>
          <w:numId w:val="0"/>
        </w:numPr>
        <w:jc w:val="left"/>
        <w:rPr>
          <w:rFonts w:hint="eastAsia" w:ascii="宋体" w:hAnsi="宋体" w:eastAsia="宋体" w:cs="宋体"/>
          <w:b w:val="0"/>
          <w:bCs/>
          <w:i w:val="0"/>
          <w:caps w:val="0"/>
          <w:color w:val="auto"/>
          <w:spacing w:val="0"/>
          <w:sz w:val="24"/>
          <w:szCs w:val="24"/>
          <w:u w:val="none"/>
          <w:bdr w:val="none" w:color="auto" w:sz="0" w:space="0"/>
          <w:shd w:val="clear" w:fill="FFFFFF"/>
        </w:rPr>
      </w:pPr>
      <w:r>
        <w:rPr>
          <w:rFonts w:hint="eastAsia" w:ascii="宋体" w:hAnsi="宋体" w:eastAsia="宋体" w:cs="宋体"/>
          <w:b w:val="0"/>
          <w:bCs/>
          <w:i w:val="0"/>
          <w:caps w:val="0"/>
          <w:color w:val="auto"/>
          <w:spacing w:val="0"/>
          <w:sz w:val="24"/>
          <w:szCs w:val="24"/>
          <w:shd w:val="clear" w:fill="FFFFFF"/>
        </w:rPr>
        <w:t>作者:编者:</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"http://search.dangdang.com/?key2=%D6%D3%E7%F8|&amp;medium=01&amp;category_path=01.00.00.00.00.00"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钟瑛|</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责编:</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"http://search.dangdang.com/?key2=%CC%C0%BB%DB%DC%BF&amp;medium=01&amp;category_path=01.00.00.00.00.00"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汤慧芸</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出版时间:2020年05月</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9787300280943</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i w:val="0"/>
          <w:caps w:val="0"/>
          <w:color w:val="auto"/>
          <w:spacing w:val="0"/>
          <w:sz w:val="24"/>
          <w:szCs w:val="24"/>
          <w:shd w:val="clear" w:fill="FFFFFF"/>
        </w:rPr>
        <w:t>《网络传播导论》力图多层次、立体化地呈现网络传播的基本图景。从内容结构上看，既有微观上的对网络传播技术、网民及其行为、网络新闻的评价与管理的介绍，也有中观上的对网站类型、网站与自媒体运营的梳理，还有宏观上的对网络管理、网络舆论的讲解。从层次上看，既梳理介绍了互联网历史脉络等基本的知识点，也对网络舆论传播规律、有中国特色的网络管理机制、网络传播研究的前沿理论与方法做了学理剖析。从学科看，广泛涉及计算机科学、传播学、社会学、心理学、政治学等领域的知识，体现了当前网络传播研究的跨学科、多视角的取向。第三版新增第9章“网络文化与传播特征”，并介绍了5G、人工智能、区块链等新内容。</w:t>
      </w:r>
    </w:p>
    <w:p>
      <w:pPr>
        <w:widowControl w:val="0"/>
        <w:numPr>
          <w:numId w:val="0"/>
        </w:numPr>
        <w:jc w:val="left"/>
      </w:pPr>
      <w:r>
        <w:drawing>
          <wp:inline distT="0" distB="0" distL="114300" distR="114300">
            <wp:extent cx="4300855" cy="5506720"/>
            <wp:effectExtent l="0" t="0" r="4445" b="177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300855" cy="5506720"/>
                    </a:xfrm>
                    <a:prstGeom prst="rect">
                      <a:avLst/>
                    </a:prstGeom>
                    <a:noFill/>
                    <a:ln>
                      <a:noFill/>
                    </a:ln>
                  </pic:spPr>
                </pic:pic>
              </a:graphicData>
            </a:graphic>
          </wp:inline>
        </w:drawing>
      </w:r>
    </w:p>
    <w:p>
      <w:pPr>
        <w:widowControl w:val="0"/>
        <w:numPr>
          <w:numId w:val="0"/>
        </w:numPr>
        <w:jc w:val="left"/>
      </w:pPr>
    </w:p>
    <w:p>
      <w:pPr>
        <w:widowControl w:val="0"/>
        <w:numPr>
          <w:numId w:val="0"/>
        </w:numPr>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宋体" w:hAnsi="宋体" w:eastAsia="宋体" w:cs="宋体"/>
          <w:b w:val="0"/>
          <w:bCs/>
          <w:i w:val="0"/>
          <w:caps w:val="0"/>
          <w:color w:val="auto"/>
          <w:spacing w:val="0"/>
          <w:sz w:val="24"/>
          <w:szCs w:val="24"/>
          <w:lang w:val="en-US" w:eastAsia="zh-CN"/>
        </w:rPr>
      </w:pPr>
      <w:r>
        <w:rPr>
          <w:rFonts w:hint="eastAsia" w:ascii="宋体" w:hAnsi="宋体" w:eastAsia="宋体" w:cs="宋体"/>
          <w:b w:val="0"/>
          <w:bCs/>
          <w:color w:val="auto"/>
          <w:sz w:val="24"/>
          <w:szCs w:val="24"/>
          <w:lang w:val="en-US" w:eastAsia="zh-CN"/>
        </w:rPr>
        <w:t>10.</w:t>
      </w:r>
      <w:r>
        <w:rPr>
          <w:rFonts w:hint="eastAsia" w:ascii="宋体" w:hAnsi="宋体" w:eastAsia="宋体" w:cs="宋体"/>
          <w:b w:val="0"/>
          <w:bCs/>
          <w:i w:val="0"/>
          <w:caps w:val="0"/>
          <w:color w:val="auto"/>
          <w:spacing w:val="0"/>
          <w:sz w:val="24"/>
          <w:szCs w:val="24"/>
          <w:bdr w:val="none" w:color="auto" w:sz="0" w:space="0"/>
          <w:shd w:val="clear" w:fill="FFFFFF"/>
        </w:rPr>
        <w:t>传播心理学（新编21世纪新闻传播学系列教材）</w:t>
      </w:r>
      <w:r>
        <w:rPr>
          <w:rFonts w:hint="eastAsia" w:ascii="宋体" w:hAnsi="宋体" w:eastAsia="宋体" w:cs="宋体"/>
          <w:b w:val="0"/>
          <w:bCs/>
          <w:i w:val="0"/>
          <w:caps w:val="0"/>
          <w:color w:val="auto"/>
          <w:spacing w:val="0"/>
          <w:sz w:val="24"/>
          <w:szCs w:val="24"/>
          <w:bdr w:val="none" w:color="auto" w:sz="0" w:space="0"/>
          <w:shd w:val="clear" w:fill="FFFFFF"/>
          <w:lang w:val="en-US" w:eastAsia="zh-CN"/>
        </w:rPr>
        <w:t>49.80</w:t>
      </w:r>
    </w:p>
    <w:p>
      <w:pPr>
        <w:widowControl w:val="0"/>
        <w:numPr>
          <w:numId w:val="0"/>
        </w:numPr>
        <w:jc w:val="left"/>
        <w:rPr>
          <w:rFonts w:hint="eastAsia" w:ascii="宋体" w:hAnsi="宋体" w:eastAsia="宋体" w:cs="宋体"/>
          <w:b w:val="0"/>
          <w:bCs/>
          <w:i w:val="0"/>
          <w:caps w:val="0"/>
          <w:color w:val="auto"/>
          <w:spacing w:val="0"/>
          <w:sz w:val="24"/>
          <w:szCs w:val="24"/>
          <w:u w:val="none"/>
          <w:bdr w:val="none" w:color="auto" w:sz="0" w:space="0"/>
          <w:shd w:val="clear" w:fill="FFFFFF"/>
          <w:lang w:val="en-US" w:eastAsia="zh-CN"/>
        </w:rPr>
      </w:pPr>
      <w:r>
        <w:rPr>
          <w:rFonts w:hint="eastAsia" w:ascii="宋体" w:hAnsi="宋体" w:eastAsia="宋体" w:cs="宋体"/>
          <w:b w:val="0"/>
          <w:bCs/>
          <w:i w:val="0"/>
          <w:caps w:val="0"/>
          <w:color w:val="auto"/>
          <w:spacing w:val="0"/>
          <w:sz w:val="24"/>
          <w:szCs w:val="24"/>
          <w:shd w:val="clear" w:fill="FFFFFF"/>
        </w:rPr>
        <w:t>作者:</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"http://search.dangdang.com/?key2=%B3%C2%C8%F1&amp;medium=01&amp;category_path=01.00.00.00.00.00"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陈锐</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 </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"http://search.dangdang.com/?key2=%C4%DF%BB%B8&amp;medium=01&amp;category_path=01.00.00.00.00.00"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倪桓</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shd w:val="clear" w:fill="FFFFFF"/>
        </w:rPr>
        <w:t> </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begin"/>
      </w:r>
      <w:r>
        <w:rPr>
          <w:rFonts w:hint="eastAsia" w:ascii="宋体" w:hAnsi="宋体" w:eastAsia="宋体" w:cs="宋体"/>
          <w:b w:val="0"/>
          <w:bCs/>
          <w:i w:val="0"/>
          <w:caps w:val="0"/>
          <w:color w:val="auto"/>
          <w:spacing w:val="0"/>
          <w:sz w:val="24"/>
          <w:szCs w:val="24"/>
          <w:u w:val="none"/>
          <w:bdr w:val="none" w:color="auto" w:sz="0" w:space="0"/>
          <w:shd w:val="clear" w:fill="FFFFFF"/>
        </w:rPr>
        <w:instrText xml:space="preserve"> HYPERLINK "http://search.dangdang.com/?key2=%D3%E0%D0%A1%C3%B7&amp;medium=01&amp;category_path=01.00.00.00.00.00" \t "http://product.dangdang.com/_blank" </w:instrTex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separate"/>
      </w:r>
      <w:r>
        <w:rPr>
          <w:rStyle w:val="5"/>
          <w:rFonts w:hint="eastAsia" w:ascii="宋体" w:hAnsi="宋体" w:eastAsia="宋体" w:cs="宋体"/>
          <w:b w:val="0"/>
          <w:bCs/>
          <w:i w:val="0"/>
          <w:caps w:val="0"/>
          <w:color w:val="auto"/>
          <w:spacing w:val="0"/>
          <w:sz w:val="24"/>
          <w:szCs w:val="24"/>
          <w:u w:val="none"/>
          <w:bdr w:val="none" w:color="auto" w:sz="0" w:space="0"/>
          <w:shd w:val="clear" w:fill="FFFFFF"/>
        </w:rPr>
        <w:t>余小梅</w:t>
      </w:r>
      <w:r>
        <w:rPr>
          <w:rFonts w:hint="eastAsia" w:ascii="宋体" w:hAnsi="宋体" w:eastAsia="宋体" w:cs="宋体"/>
          <w:b w:val="0"/>
          <w:bCs/>
          <w:i w:val="0"/>
          <w:caps w:val="0"/>
          <w:color w:val="auto"/>
          <w:spacing w:val="0"/>
          <w:sz w:val="24"/>
          <w:szCs w:val="24"/>
          <w:u w:val="none"/>
          <w:bdr w:val="none" w:color="auto" w:sz="0" w:space="0"/>
          <w:shd w:val="clear" w:fill="FFFFFF"/>
        </w:rPr>
        <w:fldChar w:fldCharType="end"/>
      </w:r>
      <w:r>
        <w:rPr>
          <w:rFonts w:hint="eastAsia" w:ascii="宋体" w:hAnsi="宋体" w:eastAsia="宋体" w:cs="宋体"/>
          <w:b w:val="0"/>
          <w:bCs/>
          <w:i w:val="0"/>
          <w:caps w:val="0"/>
          <w:color w:val="auto"/>
          <w:spacing w:val="0"/>
          <w:sz w:val="24"/>
          <w:szCs w:val="24"/>
          <w:u w:val="none"/>
          <w:bdr w:val="none" w:color="auto" w:sz="0" w:space="0"/>
          <w:shd w:val="clear" w:fill="FFFFFF"/>
          <w:lang w:val="en-US" w:eastAsia="zh-CN"/>
        </w:rPr>
        <w:t xml:space="preserve"> </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rPr>
        <w:t>出版时间:2019年11月</w:t>
      </w:r>
    </w:p>
    <w:p>
      <w:pPr>
        <w:widowControl w:val="0"/>
        <w:numPr>
          <w:numId w:val="0"/>
        </w:numPr>
        <w:jc w:val="left"/>
        <w:rPr>
          <w:rFonts w:hint="eastAsia" w:ascii="宋体" w:hAnsi="宋体" w:eastAsia="宋体" w:cs="宋体"/>
          <w:b w:val="0"/>
          <w:bCs/>
          <w:i w:val="0"/>
          <w:caps w:val="0"/>
          <w:color w:val="auto"/>
          <w:spacing w:val="0"/>
          <w:sz w:val="24"/>
          <w:szCs w:val="24"/>
          <w:shd w:val="clear" w:fill="FFFFFF"/>
        </w:rPr>
      </w:pPr>
      <w:r>
        <w:rPr>
          <w:rFonts w:hint="eastAsia" w:ascii="宋体" w:hAnsi="宋体" w:eastAsia="宋体" w:cs="宋体"/>
          <w:b w:val="0"/>
          <w:bCs/>
          <w:i w:val="0"/>
          <w:caps w:val="0"/>
          <w:color w:val="auto"/>
          <w:spacing w:val="0"/>
          <w:sz w:val="24"/>
          <w:szCs w:val="24"/>
          <w:shd w:val="clear" w:fill="FFFFFF"/>
          <w:lang w:eastAsia="zh-CN"/>
        </w:rPr>
        <w:t>书号：</w:t>
      </w:r>
      <w:r>
        <w:rPr>
          <w:rFonts w:hint="eastAsia" w:ascii="宋体" w:hAnsi="宋体" w:eastAsia="宋体" w:cs="宋体"/>
          <w:b w:val="0"/>
          <w:bCs/>
          <w:i w:val="0"/>
          <w:caps w:val="0"/>
          <w:color w:val="auto"/>
          <w:spacing w:val="0"/>
          <w:sz w:val="24"/>
          <w:szCs w:val="24"/>
          <w:shd w:val="clear" w:fill="FFFFFF"/>
        </w:rPr>
        <w:t>9787300276014</w:t>
      </w:r>
    </w:p>
    <w:p>
      <w:pPr>
        <w:widowControl w:val="0"/>
        <w:numPr>
          <w:numId w:val="0"/>
        </w:numPr>
        <w:ind w:firstLine="480" w:firstLineChars="200"/>
        <w:jc w:val="left"/>
        <w:rPr>
          <w:rFonts w:hint="eastAsia" w:ascii="宋体" w:hAnsi="宋体" w:eastAsia="宋体" w:cs="宋体"/>
          <w:b w:val="0"/>
          <w:bCs/>
          <w:i w:val="0"/>
          <w:caps w:val="0"/>
          <w:color w:val="auto"/>
          <w:spacing w:val="0"/>
          <w:sz w:val="24"/>
          <w:szCs w:val="24"/>
          <w:shd w:val="clear" w:fill="FFFFFF"/>
          <w:lang w:val="en-US" w:eastAsia="zh-CN"/>
        </w:rPr>
      </w:pPr>
      <w:r>
        <w:rPr>
          <w:rFonts w:hint="eastAsia" w:ascii="宋体" w:hAnsi="宋体" w:eastAsia="宋体" w:cs="宋体"/>
          <w:b w:val="0"/>
          <w:bCs/>
          <w:i w:val="0"/>
          <w:caps w:val="0"/>
          <w:color w:val="auto"/>
          <w:spacing w:val="0"/>
          <w:sz w:val="24"/>
          <w:szCs w:val="24"/>
          <w:shd w:val="clear" w:fill="FFFFFF"/>
        </w:rPr>
        <w:t>本教材从心理学视角阐释传播过程中的各种现象和议题，涵盖大众传播、群体传播、人际传播等范畴，兼顾新媒体传播中的新态势。主要内容分为四部分：部分绪论，阐明传播心理学的研究对象、方法及理论流派，介绍传播心理学在国内外的发展历史与现状；第二部分介绍传播者心理，涉及传播者的自我意识、观察判断、印象管理、有效倾听、移情能力、情绪情感调控、创新应变等传播能力和素质；第三部分介绍接收者心理，涉及接收者的注意状态、信息处理、需求动机、心理发展、态度变化；第四部分介绍新媒体与传播心理，包含网络与人际传播心理、心理学视角下的网络舆情、谣言传播的心理研究等。</w:t>
      </w:r>
      <w:r>
        <w:rPr>
          <w:rFonts w:hint="eastAsia" w:ascii="宋体" w:hAnsi="宋体" w:eastAsia="宋体" w:cs="宋体"/>
          <w:b w:val="0"/>
          <w:bCs/>
          <w:i w:val="0"/>
          <w:caps w:val="0"/>
          <w:color w:val="auto"/>
          <w:spacing w:val="0"/>
          <w:sz w:val="24"/>
          <w:szCs w:val="24"/>
          <w:bdr w:val="none" w:color="auto" w:sz="0" w:space="0"/>
          <w:shd w:val="clear" w:fill="FFFFFF"/>
        </w:rPr>
        <w:br w:type="textWrapping"/>
      </w:r>
      <w:r>
        <w:rPr>
          <w:rFonts w:hint="eastAsia" w:ascii="宋体" w:hAnsi="宋体" w:eastAsia="宋体" w:cs="宋体"/>
          <w:b w:val="0"/>
          <w:bCs/>
          <w:i w:val="0"/>
          <w:caps w:val="0"/>
          <w:color w:val="auto"/>
          <w:spacing w:val="0"/>
          <w:sz w:val="24"/>
          <w:szCs w:val="24"/>
          <w:bdr w:val="none" w:color="auto" w:sz="0" w:space="0"/>
          <w:shd w:val="clear" w:fill="FFFFFF"/>
          <w:lang w:val="en-US" w:eastAsia="zh-CN"/>
        </w:rPr>
        <w:t xml:space="preserve">   </w:t>
      </w:r>
      <w:bookmarkStart w:id="0" w:name="_GoBack"/>
      <w:r>
        <w:drawing>
          <wp:inline distT="0" distB="0" distL="114300" distR="114300">
            <wp:extent cx="4568190" cy="6078220"/>
            <wp:effectExtent l="0" t="0" r="3810" b="177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4568190" cy="6078220"/>
                    </a:xfrm>
                    <a:prstGeom prst="rect">
                      <a:avLst/>
                    </a:prstGeom>
                    <a:noFill/>
                    <a:ln>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8C7488"/>
    <w:multiLevelType w:val="singleLevel"/>
    <w:tmpl w:val="B18C7488"/>
    <w:lvl w:ilvl="0" w:tentative="0">
      <w:start w:val="8"/>
      <w:numFmt w:val="decimal"/>
      <w:lvlText w:val="%1."/>
      <w:lvlJc w:val="left"/>
      <w:pPr>
        <w:tabs>
          <w:tab w:val="left" w:pos="312"/>
        </w:tabs>
      </w:pPr>
    </w:lvl>
  </w:abstractNum>
  <w:abstractNum w:abstractNumId="1">
    <w:nsid w:val="C0263303"/>
    <w:multiLevelType w:val="singleLevel"/>
    <w:tmpl w:val="C0263303"/>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146142"/>
    <w:rsid w:val="1A0A663B"/>
    <w:rsid w:val="21340E9F"/>
    <w:rsid w:val="2ACD6D3A"/>
    <w:rsid w:val="3C940F3F"/>
    <w:rsid w:val="3EBF20C3"/>
    <w:rsid w:val="40000E75"/>
    <w:rsid w:val="405C6B14"/>
    <w:rsid w:val="48665D3D"/>
    <w:rsid w:val="4BED2653"/>
    <w:rsid w:val="581D06E7"/>
    <w:rsid w:val="5B6A4F24"/>
    <w:rsid w:val="5E413290"/>
    <w:rsid w:val="65A95BC1"/>
    <w:rsid w:val="6B9B28FB"/>
    <w:rsid w:val="6EAF5140"/>
    <w:rsid w:val="706836B3"/>
    <w:rsid w:val="70DA78EA"/>
    <w:rsid w:val="77A94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crup</dc:creator>
  <cp:lastModifiedBy>crup</cp:lastModifiedBy>
  <dcterms:modified xsi:type="dcterms:W3CDTF">2020-06-09T03:17:30Z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