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90" w:rsidRDefault="000E5A40">
      <w:pPr>
        <w:jc w:val="center"/>
        <w:rPr>
          <w:b/>
          <w:sz w:val="30"/>
          <w:szCs w:val="30"/>
        </w:rPr>
      </w:pPr>
      <w:r>
        <w:rPr>
          <w:rFonts w:hint="eastAsia"/>
          <w:b/>
          <w:sz w:val="30"/>
          <w:szCs w:val="30"/>
        </w:rPr>
        <w:t>教材信息表</w:t>
      </w:r>
    </w:p>
    <w:tbl>
      <w:tblPr>
        <w:tblStyle w:val="a8"/>
        <w:tblpPr w:leftFromText="180" w:rightFromText="180" w:horzAnchor="margin" w:tblpY="1077"/>
        <w:tblW w:w="10218" w:type="dxa"/>
        <w:tblLayout w:type="fixed"/>
        <w:tblLook w:val="04A0" w:firstRow="1" w:lastRow="0" w:firstColumn="1" w:lastColumn="0" w:noHBand="0" w:noVBand="1"/>
      </w:tblPr>
      <w:tblGrid>
        <w:gridCol w:w="4204"/>
        <w:gridCol w:w="1867"/>
        <w:gridCol w:w="1649"/>
        <w:gridCol w:w="1162"/>
        <w:gridCol w:w="1336"/>
      </w:tblGrid>
      <w:tr w:rsidR="00E16990" w:rsidTr="00062193">
        <w:trPr>
          <w:trHeight w:val="1147"/>
        </w:trPr>
        <w:tc>
          <w:tcPr>
            <w:tcW w:w="4204" w:type="dxa"/>
            <w:vMerge w:val="restart"/>
          </w:tcPr>
          <w:p w:rsidR="00E16990" w:rsidRDefault="006F09AC">
            <w:pPr>
              <w:jc w:val="center"/>
              <w:rPr>
                <w:noProof/>
              </w:rPr>
            </w:pPr>
            <w:r>
              <w:rPr>
                <w:rFonts w:hint="eastAsia"/>
                <w:noProof/>
              </w:rPr>
              <w:t>封面</w:t>
            </w:r>
            <w:r w:rsidR="00AA6B22">
              <w:rPr>
                <w:rFonts w:hint="eastAsia"/>
                <w:noProof/>
              </w:rPr>
              <w:t>（贴平面的，不要贴立体图）</w:t>
            </w:r>
          </w:p>
          <w:p w:rsidR="0001774B" w:rsidRDefault="00446CE0">
            <w:pPr>
              <w:jc w:val="center"/>
            </w:pPr>
            <w:r w:rsidRPr="00446CE0">
              <w:rPr>
                <w:noProof/>
              </w:rPr>
              <w:drawing>
                <wp:inline distT="0" distB="0" distL="0" distR="0">
                  <wp:extent cx="2459169" cy="3486150"/>
                  <wp:effectExtent l="0" t="0" r="0" b="0"/>
                  <wp:docPr id="6" name="图片 6" descr="D:\编辑（书）\挑战大学数学——高等数学（上）\大学数学一课一练：高等数学（上）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编辑（书）\挑战大学数学——高等数学（上）\大学数学一课一练：高等数学（上）封面.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073" cy="3495938"/>
                          </a:xfrm>
                          <a:prstGeom prst="rect">
                            <a:avLst/>
                          </a:prstGeom>
                          <a:noFill/>
                          <a:ln>
                            <a:noFill/>
                          </a:ln>
                        </pic:spPr>
                      </pic:pic>
                    </a:graphicData>
                  </a:graphic>
                </wp:inline>
              </w:drawing>
            </w:r>
          </w:p>
        </w:tc>
        <w:tc>
          <w:tcPr>
            <w:tcW w:w="1867" w:type="dxa"/>
            <w:vAlign w:val="center"/>
          </w:tcPr>
          <w:p w:rsidR="00E16990" w:rsidRDefault="000E5A40">
            <w:pPr>
              <w:jc w:val="center"/>
              <w:rPr>
                <w:b/>
                <w:sz w:val="24"/>
                <w:szCs w:val="24"/>
              </w:rPr>
            </w:pPr>
            <w:r>
              <w:rPr>
                <w:rFonts w:hint="eastAsia"/>
                <w:b/>
                <w:sz w:val="24"/>
                <w:szCs w:val="24"/>
              </w:rPr>
              <w:t>书名</w:t>
            </w:r>
          </w:p>
        </w:tc>
        <w:tc>
          <w:tcPr>
            <w:tcW w:w="4146" w:type="dxa"/>
            <w:gridSpan w:val="3"/>
            <w:vAlign w:val="center"/>
          </w:tcPr>
          <w:p w:rsidR="00E16990" w:rsidRPr="0096517E" w:rsidRDefault="00446CE0">
            <w:pPr>
              <w:jc w:val="center"/>
              <w:rPr>
                <w:rFonts w:asciiTheme="minorEastAsia" w:hAnsiTheme="minorEastAsia" w:cstheme="minorEastAsia"/>
                <w:szCs w:val="21"/>
              </w:rPr>
            </w:pPr>
            <w:r w:rsidRPr="0096517E">
              <w:rPr>
                <w:rFonts w:ascii="Tahoma" w:hAnsi="Tahoma" w:cs="Tahoma"/>
                <w:color w:val="333333"/>
                <w:szCs w:val="21"/>
              </w:rPr>
              <w:t>大学数学一课一练</w:t>
            </w:r>
            <w:r w:rsidRPr="0096517E">
              <w:rPr>
                <w:rFonts w:ascii="Tahoma" w:hAnsi="Tahoma" w:cs="Tahoma"/>
                <w:color w:val="333333"/>
                <w:szCs w:val="21"/>
              </w:rPr>
              <w:t>——</w:t>
            </w:r>
            <w:r w:rsidRPr="0096517E">
              <w:rPr>
                <w:rFonts w:ascii="Tahoma" w:hAnsi="Tahoma" w:cs="Tahoma"/>
                <w:color w:val="333333"/>
                <w:szCs w:val="21"/>
              </w:rPr>
              <w:t>高等数学（上）</w:t>
            </w:r>
          </w:p>
        </w:tc>
      </w:tr>
      <w:tr w:rsidR="00E16990" w:rsidTr="00062193">
        <w:trPr>
          <w:trHeight w:val="1086"/>
        </w:trPr>
        <w:tc>
          <w:tcPr>
            <w:tcW w:w="4204" w:type="dxa"/>
            <w:vMerge/>
          </w:tcPr>
          <w:p w:rsidR="00E16990" w:rsidRDefault="00E16990"/>
        </w:tc>
        <w:tc>
          <w:tcPr>
            <w:tcW w:w="1867" w:type="dxa"/>
            <w:vAlign w:val="center"/>
          </w:tcPr>
          <w:p w:rsidR="00E16990" w:rsidRDefault="000E5A40">
            <w:pPr>
              <w:jc w:val="center"/>
              <w:rPr>
                <w:b/>
                <w:sz w:val="24"/>
                <w:szCs w:val="24"/>
              </w:rPr>
            </w:pPr>
            <w:r>
              <w:rPr>
                <w:rFonts w:hint="eastAsia"/>
                <w:b/>
                <w:sz w:val="24"/>
                <w:szCs w:val="24"/>
              </w:rPr>
              <w:t>书号</w:t>
            </w:r>
          </w:p>
        </w:tc>
        <w:tc>
          <w:tcPr>
            <w:tcW w:w="4146" w:type="dxa"/>
            <w:gridSpan w:val="3"/>
            <w:vAlign w:val="center"/>
          </w:tcPr>
          <w:p w:rsidR="00E16990" w:rsidRPr="0096517E" w:rsidRDefault="00446CE0">
            <w:pPr>
              <w:jc w:val="center"/>
              <w:rPr>
                <w:rFonts w:asciiTheme="minorEastAsia" w:hAnsiTheme="minorEastAsia" w:cstheme="minorEastAsia"/>
                <w:szCs w:val="21"/>
              </w:rPr>
            </w:pPr>
            <w:r w:rsidRPr="0096517E">
              <w:rPr>
                <w:rFonts w:ascii="Tahoma" w:hAnsi="Tahoma" w:cs="Tahoma"/>
                <w:color w:val="333333"/>
                <w:szCs w:val="21"/>
              </w:rPr>
              <w:t>978-7-5675-9682-5</w:t>
            </w:r>
          </w:p>
        </w:tc>
      </w:tr>
      <w:tr w:rsidR="00E16990" w:rsidTr="00062193">
        <w:trPr>
          <w:trHeight w:val="1489"/>
        </w:trPr>
        <w:tc>
          <w:tcPr>
            <w:tcW w:w="4204" w:type="dxa"/>
            <w:vMerge/>
          </w:tcPr>
          <w:p w:rsidR="00E16990" w:rsidRDefault="00E16990"/>
        </w:tc>
        <w:tc>
          <w:tcPr>
            <w:tcW w:w="1867" w:type="dxa"/>
            <w:vAlign w:val="center"/>
          </w:tcPr>
          <w:p w:rsidR="00E16990" w:rsidRDefault="000E5A40">
            <w:pPr>
              <w:jc w:val="center"/>
              <w:rPr>
                <w:b/>
                <w:sz w:val="24"/>
                <w:szCs w:val="24"/>
              </w:rPr>
            </w:pPr>
            <w:r>
              <w:rPr>
                <w:rFonts w:hint="eastAsia"/>
                <w:b/>
                <w:sz w:val="24"/>
                <w:szCs w:val="24"/>
              </w:rPr>
              <w:t>出版年月</w:t>
            </w:r>
          </w:p>
        </w:tc>
        <w:tc>
          <w:tcPr>
            <w:tcW w:w="1649" w:type="dxa"/>
            <w:vAlign w:val="center"/>
          </w:tcPr>
          <w:p w:rsidR="00E16990" w:rsidRDefault="00F92697">
            <w:pPr>
              <w:jc w:val="center"/>
            </w:pPr>
            <w:r>
              <w:t>2019</w:t>
            </w:r>
            <w:r>
              <w:rPr>
                <w:rFonts w:hint="eastAsia"/>
              </w:rPr>
              <w:t>年</w:t>
            </w:r>
            <w:r w:rsidR="00446CE0">
              <w:t>12</w:t>
            </w:r>
            <w:r>
              <w:rPr>
                <w:rFonts w:hint="eastAsia"/>
              </w:rPr>
              <w:t>月</w:t>
            </w:r>
          </w:p>
        </w:tc>
        <w:tc>
          <w:tcPr>
            <w:tcW w:w="1162" w:type="dxa"/>
            <w:vAlign w:val="center"/>
          </w:tcPr>
          <w:p w:rsidR="00E16990" w:rsidRDefault="000E5A40">
            <w:pPr>
              <w:jc w:val="center"/>
              <w:rPr>
                <w:b/>
                <w:sz w:val="24"/>
                <w:szCs w:val="24"/>
              </w:rPr>
            </w:pPr>
            <w:r>
              <w:rPr>
                <w:rFonts w:hint="eastAsia"/>
                <w:b/>
                <w:sz w:val="24"/>
                <w:szCs w:val="24"/>
              </w:rPr>
              <w:t>定价</w:t>
            </w:r>
          </w:p>
        </w:tc>
        <w:tc>
          <w:tcPr>
            <w:tcW w:w="1334" w:type="dxa"/>
            <w:vAlign w:val="center"/>
          </w:tcPr>
          <w:p w:rsidR="00E16990" w:rsidRDefault="00446CE0">
            <w:pPr>
              <w:jc w:val="center"/>
            </w:pPr>
            <w:r>
              <w:t>38</w:t>
            </w:r>
            <w:r w:rsidR="00F92697">
              <w:t>.00</w:t>
            </w:r>
          </w:p>
        </w:tc>
      </w:tr>
      <w:tr w:rsidR="00E16990" w:rsidTr="00062193">
        <w:trPr>
          <w:trHeight w:val="935"/>
        </w:trPr>
        <w:tc>
          <w:tcPr>
            <w:tcW w:w="4204" w:type="dxa"/>
            <w:vMerge/>
          </w:tcPr>
          <w:p w:rsidR="00E16990" w:rsidRDefault="00E16990"/>
        </w:tc>
        <w:tc>
          <w:tcPr>
            <w:tcW w:w="1867" w:type="dxa"/>
            <w:vAlign w:val="center"/>
          </w:tcPr>
          <w:p w:rsidR="00E16990" w:rsidRDefault="000E5A40">
            <w:pPr>
              <w:jc w:val="center"/>
              <w:rPr>
                <w:b/>
                <w:sz w:val="24"/>
                <w:szCs w:val="24"/>
              </w:rPr>
            </w:pPr>
            <w:r>
              <w:rPr>
                <w:rFonts w:hint="eastAsia"/>
                <w:b/>
                <w:sz w:val="24"/>
                <w:szCs w:val="24"/>
              </w:rPr>
              <w:t>适用专业</w:t>
            </w:r>
          </w:p>
        </w:tc>
        <w:tc>
          <w:tcPr>
            <w:tcW w:w="4146" w:type="dxa"/>
            <w:gridSpan w:val="3"/>
            <w:vAlign w:val="center"/>
          </w:tcPr>
          <w:p w:rsidR="00E16990" w:rsidRDefault="00446CE0">
            <w:pPr>
              <w:jc w:val="center"/>
            </w:pPr>
            <w:r>
              <w:rPr>
                <w:rFonts w:hint="eastAsia"/>
              </w:rPr>
              <w:t>工科各专业</w:t>
            </w:r>
            <w:r>
              <w:rPr>
                <w:rFonts w:hint="eastAsia"/>
              </w:rPr>
              <w:t>/</w:t>
            </w:r>
            <w:r>
              <w:rPr>
                <w:rFonts w:hint="eastAsia"/>
              </w:rPr>
              <w:t>经管专业</w:t>
            </w:r>
          </w:p>
        </w:tc>
      </w:tr>
      <w:tr w:rsidR="00E16990" w:rsidTr="00062193">
        <w:trPr>
          <w:trHeight w:val="1296"/>
        </w:trPr>
        <w:tc>
          <w:tcPr>
            <w:tcW w:w="4204" w:type="dxa"/>
            <w:vMerge/>
          </w:tcPr>
          <w:p w:rsidR="00E16990" w:rsidRDefault="00E16990"/>
        </w:tc>
        <w:tc>
          <w:tcPr>
            <w:tcW w:w="1867" w:type="dxa"/>
            <w:vAlign w:val="center"/>
          </w:tcPr>
          <w:p w:rsidR="00E16990" w:rsidRDefault="000E5A40">
            <w:pPr>
              <w:jc w:val="center"/>
              <w:rPr>
                <w:b/>
                <w:sz w:val="24"/>
                <w:szCs w:val="24"/>
              </w:rPr>
            </w:pPr>
            <w:r>
              <w:rPr>
                <w:rFonts w:hint="eastAsia"/>
                <w:b/>
                <w:sz w:val="24"/>
                <w:szCs w:val="24"/>
              </w:rPr>
              <w:t>适用层次</w:t>
            </w:r>
          </w:p>
        </w:tc>
        <w:tc>
          <w:tcPr>
            <w:tcW w:w="4146" w:type="dxa"/>
            <w:gridSpan w:val="3"/>
            <w:vAlign w:val="center"/>
          </w:tcPr>
          <w:p w:rsidR="00E16990" w:rsidRDefault="00F92697" w:rsidP="006F09AC">
            <w:pPr>
              <w:ind w:firstLineChars="400" w:firstLine="840"/>
            </w:pPr>
            <w:r w:rsidRPr="00F92697">
              <w:rPr>
                <w:rFonts w:hint="eastAsia"/>
              </w:rPr>
              <w:t>高等院校</w:t>
            </w:r>
          </w:p>
        </w:tc>
      </w:tr>
      <w:tr w:rsidR="006F09AC" w:rsidTr="00062193">
        <w:trPr>
          <w:trHeight w:val="1296"/>
        </w:trPr>
        <w:tc>
          <w:tcPr>
            <w:tcW w:w="4204" w:type="dxa"/>
            <w:vMerge/>
          </w:tcPr>
          <w:p w:rsidR="006F09AC" w:rsidRDefault="006F09AC"/>
        </w:tc>
        <w:tc>
          <w:tcPr>
            <w:tcW w:w="1867" w:type="dxa"/>
            <w:vAlign w:val="center"/>
          </w:tcPr>
          <w:p w:rsidR="006F09AC" w:rsidRDefault="006F09AC">
            <w:pPr>
              <w:jc w:val="center"/>
              <w:rPr>
                <w:b/>
                <w:sz w:val="24"/>
                <w:szCs w:val="24"/>
              </w:rPr>
            </w:pPr>
            <w:r>
              <w:rPr>
                <w:rFonts w:hint="eastAsia"/>
                <w:b/>
                <w:sz w:val="24"/>
                <w:szCs w:val="24"/>
              </w:rPr>
              <w:t>适用课程</w:t>
            </w:r>
          </w:p>
        </w:tc>
        <w:tc>
          <w:tcPr>
            <w:tcW w:w="4146" w:type="dxa"/>
            <w:gridSpan w:val="3"/>
            <w:vAlign w:val="center"/>
          </w:tcPr>
          <w:p w:rsidR="006F09AC" w:rsidRDefault="00782055" w:rsidP="006F09AC">
            <w:pPr>
              <w:ind w:firstLineChars="400" w:firstLine="840"/>
            </w:pPr>
            <w:r>
              <w:rPr>
                <w:rFonts w:hint="eastAsia"/>
              </w:rPr>
              <w:t>高等</w:t>
            </w:r>
            <w:r w:rsidR="00F92697" w:rsidRPr="00F92697">
              <w:rPr>
                <w:rFonts w:hint="eastAsia"/>
              </w:rPr>
              <w:t>数学</w:t>
            </w:r>
          </w:p>
        </w:tc>
      </w:tr>
      <w:tr w:rsidR="00E16990" w:rsidTr="00444F19">
        <w:trPr>
          <w:trHeight w:val="763"/>
        </w:trPr>
        <w:tc>
          <w:tcPr>
            <w:tcW w:w="4204" w:type="dxa"/>
            <w:vMerge/>
          </w:tcPr>
          <w:p w:rsidR="00E16990" w:rsidRDefault="00E16990"/>
        </w:tc>
        <w:tc>
          <w:tcPr>
            <w:tcW w:w="1867" w:type="dxa"/>
            <w:vAlign w:val="center"/>
          </w:tcPr>
          <w:p w:rsidR="00E16990" w:rsidRDefault="006F09AC">
            <w:pPr>
              <w:jc w:val="center"/>
              <w:rPr>
                <w:b/>
                <w:sz w:val="24"/>
                <w:szCs w:val="24"/>
              </w:rPr>
            </w:pPr>
            <w:r>
              <w:rPr>
                <w:rFonts w:hint="eastAsia"/>
                <w:b/>
                <w:sz w:val="24"/>
                <w:szCs w:val="24"/>
              </w:rPr>
              <w:t>图书分类</w:t>
            </w:r>
          </w:p>
          <w:p w:rsidR="006F09AC" w:rsidRPr="006F09AC" w:rsidRDefault="006F09AC">
            <w:pPr>
              <w:jc w:val="center"/>
              <w:rPr>
                <w:szCs w:val="21"/>
              </w:rPr>
            </w:pPr>
            <w:r w:rsidRPr="006F09AC">
              <w:rPr>
                <w:rFonts w:hint="eastAsia"/>
                <w:szCs w:val="21"/>
              </w:rPr>
              <w:t>（根据网站的图书分类填写，</w:t>
            </w:r>
            <w:r>
              <w:rPr>
                <w:rFonts w:hint="eastAsia"/>
                <w:szCs w:val="21"/>
              </w:rPr>
              <w:t>如“公共通识</w:t>
            </w:r>
            <w:r>
              <w:rPr>
                <w:rFonts w:hint="eastAsia"/>
                <w:szCs w:val="21"/>
              </w:rPr>
              <w:t>/</w:t>
            </w:r>
            <w:r>
              <w:rPr>
                <w:rFonts w:hint="eastAsia"/>
                <w:szCs w:val="21"/>
              </w:rPr>
              <w:t>就业创业”</w:t>
            </w:r>
            <w:r w:rsidRPr="006F09AC">
              <w:rPr>
                <w:rFonts w:hint="eastAsia"/>
                <w:szCs w:val="21"/>
              </w:rPr>
              <w:t>）</w:t>
            </w:r>
          </w:p>
        </w:tc>
        <w:tc>
          <w:tcPr>
            <w:tcW w:w="4146" w:type="dxa"/>
            <w:gridSpan w:val="3"/>
            <w:vAlign w:val="center"/>
          </w:tcPr>
          <w:p w:rsidR="00E16990" w:rsidRPr="006F09AC" w:rsidRDefault="00F92697" w:rsidP="0096517E">
            <w:pPr>
              <w:ind w:firstLineChars="400" w:firstLine="840"/>
              <w:rPr>
                <w:rFonts w:asciiTheme="minorEastAsia" w:hAnsiTheme="minorEastAsia" w:cstheme="minorEastAsia"/>
                <w:color w:val="000000"/>
                <w:sz w:val="24"/>
                <w:szCs w:val="24"/>
                <w:shd w:val="clear" w:color="auto" w:fill="FFFFFF"/>
              </w:rPr>
            </w:pPr>
            <w:r>
              <w:rPr>
                <w:rFonts w:hint="eastAsia"/>
                <w:szCs w:val="21"/>
              </w:rPr>
              <w:t>公共</w:t>
            </w:r>
            <w:r w:rsidR="00782055">
              <w:rPr>
                <w:rFonts w:hint="eastAsia"/>
                <w:szCs w:val="21"/>
              </w:rPr>
              <w:t>基础课</w:t>
            </w:r>
          </w:p>
        </w:tc>
      </w:tr>
      <w:tr w:rsidR="00E16990" w:rsidRPr="0096517E" w:rsidTr="00062193">
        <w:trPr>
          <w:trHeight w:val="2010"/>
        </w:trPr>
        <w:tc>
          <w:tcPr>
            <w:tcW w:w="4204" w:type="dxa"/>
            <w:vAlign w:val="center"/>
          </w:tcPr>
          <w:p w:rsidR="00E16990" w:rsidRDefault="000E5A40">
            <w:pPr>
              <w:jc w:val="center"/>
              <w:rPr>
                <w:b/>
                <w:sz w:val="24"/>
                <w:szCs w:val="24"/>
              </w:rPr>
            </w:pPr>
            <w:r>
              <w:rPr>
                <w:rFonts w:hint="eastAsia"/>
                <w:b/>
                <w:sz w:val="24"/>
                <w:szCs w:val="24"/>
              </w:rPr>
              <w:t>主要亮点</w:t>
            </w:r>
          </w:p>
        </w:tc>
        <w:tc>
          <w:tcPr>
            <w:tcW w:w="6013" w:type="dxa"/>
            <w:gridSpan w:val="4"/>
          </w:tcPr>
          <w:p w:rsidR="00782055" w:rsidRPr="0096517E" w:rsidRDefault="00782055" w:rsidP="00782055">
            <w:pPr>
              <w:spacing w:line="360" w:lineRule="auto"/>
              <w:ind w:firstLineChars="200" w:firstLine="420"/>
              <w:rPr>
                <w:rFonts w:asciiTheme="minorEastAsia" w:hAnsiTheme="minorEastAsia" w:cs="Tahoma"/>
                <w:color w:val="000000"/>
                <w:szCs w:val="21"/>
                <w:shd w:val="clear" w:color="auto" w:fill="FFFFFF"/>
              </w:rPr>
            </w:pPr>
            <w:r w:rsidRPr="0096517E">
              <w:rPr>
                <w:rFonts w:asciiTheme="minorEastAsia" w:hAnsiTheme="minorEastAsia" w:cs="Tahoma" w:hint="eastAsia"/>
                <w:color w:val="000000"/>
                <w:szCs w:val="21"/>
                <w:shd w:val="clear" w:color="auto" w:fill="FFFFFF"/>
              </w:rPr>
              <w:t>这套丛书</w:t>
            </w:r>
            <w:r w:rsidR="002A298C" w:rsidRPr="0096517E">
              <w:rPr>
                <w:rFonts w:asciiTheme="minorEastAsia" w:hAnsiTheme="minorEastAsia" w:cs="Tahoma" w:hint="eastAsia"/>
                <w:color w:val="000000"/>
                <w:szCs w:val="21"/>
                <w:shd w:val="clear" w:color="auto" w:fill="FFFFFF"/>
              </w:rPr>
              <w:t>是</w:t>
            </w:r>
            <w:r w:rsidRPr="0096517E">
              <w:rPr>
                <w:rFonts w:asciiTheme="minorEastAsia" w:hAnsiTheme="minorEastAsia" w:cs="Tahoma" w:hint="eastAsia"/>
                <w:color w:val="000000"/>
                <w:szCs w:val="21"/>
                <w:shd w:val="clear" w:color="auto" w:fill="FFFFFF"/>
              </w:rPr>
              <w:t>为</w:t>
            </w:r>
            <w:r w:rsidR="00555F44" w:rsidRPr="0096517E">
              <w:rPr>
                <w:rFonts w:asciiTheme="minorEastAsia" w:hAnsiTheme="minorEastAsia" w:cs="Tahoma" w:hint="eastAsia"/>
                <w:color w:val="000000"/>
                <w:szCs w:val="21"/>
                <w:shd w:val="clear" w:color="auto" w:fill="FFFFFF"/>
              </w:rPr>
              <w:t>学习</w:t>
            </w:r>
            <w:r w:rsidR="002A298C" w:rsidRPr="0096517E">
              <w:rPr>
                <w:rFonts w:asciiTheme="minorEastAsia" w:hAnsiTheme="minorEastAsia" w:hint="eastAsia"/>
                <w:szCs w:val="21"/>
              </w:rPr>
              <w:t>高等数学、线性代数及概率论与数理统计这些大学数学课程的学生</w:t>
            </w:r>
            <w:r w:rsidRPr="0096517E">
              <w:rPr>
                <w:rFonts w:asciiTheme="minorEastAsia" w:hAnsiTheme="minorEastAsia" w:cs="Tahoma" w:hint="eastAsia"/>
                <w:color w:val="000000"/>
                <w:szCs w:val="21"/>
                <w:shd w:val="clear" w:color="auto" w:fill="FFFFFF"/>
              </w:rPr>
              <w:t>进行课后一课一复习</w:t>
            </w:r>
            <w:r w:rsidRPr="0096517E">
              <w:rPr>
                <w:rFonts w:asciiTheme="minorEastAsia" w:hAnsiTheme="minorEastAsia" w:cs="Tahoma"/>
                <w:color w:val="000000"/>
                <w:szCs w:val="21"/>
                <w:shd w:val="clear" w:color="auto" w:fill="FFFFFF"/>
              </w:rPr>
              <w:t>、</w:t>
            </w:r>
            <w:r w:rsidRPr="0096517E">
              <w:rPr>
                <w:rFonts w:asciiTheme="minorEastAsia" w:hAnsiTheme="minorEastAsia" w:cs="Tahoma" w:hint="eastAsia"/>
                <w:color w:val="000000"/>
                <w:szCs w:val="21"/>
                <w:shd w:val="clear" w:color="auto" w:fill="FFFFFF"/>
              </w:rPr>
              <w:t>期末考试前的全面复习</w:t>
            </w:r>
            <w:r w:rsidRPr="0096517E">
              <w:rPr>
                <w:rFonts w:asciiTheme="minorEastAsia" w:hAnsiTheme="minorEastAsia" w:cs="Tahoma"/>
                <w:color w:val="000000"/>
                <w:szCs w:val="21"/>
                <w:shd w:val="clear" w:color="auto" w:fill="FFFFFF"/>
              </w:rPr>
              <w:t>、</w:t>
            </w:r>
            <w:r w:rsidRPr="0096517E">
              <w:rPr>
                <w:rFonts w:asciiTheme="minorEastAsia" w:hAnsiTheme="minorEastAsia" w:cs="Tahoma" w:hint="eastAsia"/>
                <w:color w:val="000000"/>
                <w:szCs w:val="21"/>
                <w:shd w:val="clear" w:color="auto" w:fill="FFFFFF"/>
              </w:rPr>
              <w:t>考研基础阶段复习用的，</w:t>
            </w:r>
            <w:r w:rsidRPr="0096517E">
              <w:rPr>
                <w:rFonts w:asciiTheme="minorEastAsia" w:hAnsiTheme="minorEastAsia" w:hint="eastAsia"/>
                <w:szCs w:val="21"/>
              </w:rPr>
              <w:t>还是一套会“</w:t>
            </w:r>
            <w:r w:rsidRPr="0096517E">
              <w:rPr>
                <w:rFonts w:asciiTheme="minorEastAsia" w:hAnsiTheme="minorEastAsia"/>
                <w:szCs w:val="21"/>
              </w:rPr>
              <w:t>说</w:t>
            </w:r>
            <w:r w:rsidRPr="0096517E">
              <w:rPr>
                <w:rFonts w:asciiTheme="minorEastAsia" w:hAnsiTheme="minorEastAsia" w:hint="eastAsia"/>
                <w:szCs w:val="21"/>
              </w:rPr>
              <w:t>”数学题的书</w:t>
            </w:r>
            <w:r w:rsidRPr="0096517E">
              <w:rPr>
                <w:rFonts w:asciiTheme="minorEastAsia" w:hAnsiTheme="minorEastAsia" w:cs="Tahoma" w:hint="eastAsia"/>
                <w:color w:val="000000"/>
                <w:szCs w:val="21"/>
                <w:shd w:val="clear" w:color="auto" w:fill="FFFFFF"/>
              </w:rPr>
              <w:t>。</w:t>
            </w:r>
          </w:p>
          <w:p w:rsidR="0096517E" w:rsidRPr="0096517E" w:rsidRDefault="0096517E" w:rsidP="00782055">
            <w:pPr>
              <w:spacing w:line="360" w:lineRule="auto"/>
              <w:ind w:firstLineChars="200" w:firstLine="420"/>
              <w:rPr>
                <w:rFonts w:asciiTheme="minorEastAsia" w:hAnsiTheme="minorEastAsia" w:cs="Tahoma"/>
                <w:color w:val="000000"/>
                <w:szCs w:val="21"/>
                <w:shd w:val="clear" w:color="auto" w:fill="FFFFFF"/>
              </w:rPr>
            </w:pPr>
            <w:r w:rsidRPr="0096517E">
              <w:rPr>
                <w:rFonts w:asciiTheme="minorEastAsia" w:hAnsiTheme="minorEastAsia" w:cs="Tahoma" w:hint="eastAsia"/>
                <w:color w:val="000000"/>
                <w:szCs w:val="21"/>
                <w:shd w:val="clear" w:color="auto" w:fill="FFFFFF"/>
              </w:rPr>
              <w:t>这套丛书</w:t>
            </w:r>
            <w:r w:rsidR="00782055" w:rsidRPr="0096517E">
              <w:rPr>
                <w:rFonts w:asciiTheme="minorEastAsia" w:hAnsiTheme="minorEastAsia" w:cs="Tahoma" w:hint="eastAsia"/>
                <w:color w:val="000000"/>
                <w:szCs w:val="21"/>
                <w:shd w:val="clear" w:color="auto" w:fill="FFFFFF"/>
              </w:rPr>
              <w:t>设计</w:t>
            </w:r>
            <w:r w:rsidRPr="0096517E">
              <w:rPr>
                <w:rFonts w:asciiTheme="minorEastAsia" w:hAnsiTheme="minorEastAsia" w:cs="Tahoma" w:hint="eastAsia"/>
                <w:color w:val="000000"/>
                <w:szCs w:val="21"/>
                <w:shd w:val="clear" w:color="auto" w:fill="FFFFFF"/>
              </w:rPr>
              <w:t>了</w:t>
            </w:r>
            <w:r w:rsidR="00782055" w:rsidRPr="0096517E">
              <w:rPr>
                <w:rFonts w:asciiTheme="minorEastAsia" w:hAnsiTheme="minorEastAsia" w:cs="Tahoma" w:hint="eastAsia"/>
                <w:color w:val="000000"/>
                <w:szCs w:val="21"/>
                <w:shd w:val="clear" w:color="auto" w:fill="FFFFFF"/>
              </w:rPr>
              <w:t>三步复习法：1.全面梳理每堂课后的知识要点</w:t>
            </w:r>
            <w:r w:rsidR="00782055" w:rsidRPr="0096517E">
              <w:rPr>
                <w:rFonts w:asciiTheme="minorEastAsia" w:hAnsiTheme="minorEastAsia" w:cs="Tahoma"/>
                <w:color w:val="000000"/>
                <w:szCs w:val="21"/>
                <w:shd w:val="clear" w:color="auto" w:fill="FFFFFF"/>
              </w:rPr>
              <w:t>——熟悉</w:t>
            </w:r>
            <w:r w:rsidR="00782055" w:rsidRPr="0096517E">
              <w:rPr>
                <w:rFonts w:asciiTheme="minorEastAsia" w:hAnsiTheme="minorEastAsia" w:cs="Tahoma" w:hint="eastAsia"/>
                <w:color w:val="000000"/>
                <w:szCs w:val="21"/>
                <w:shd w:val="clear" w:color="auto" w:fill="FFFFFF"/>
              </w:rPr>
              <w:t>知识点，</w:t>
            </w:r>
            <w:r w:rsidR="00782055" w:rsidRPr="0096517E">
              <w:rPr>
                <w:rFonts w:asciiTheme="minorEastAsia" w:hAnsiTheme="minorEastAsia" w:cs="Tahoma"/>
                <w:color w:val="000000"/>
                <w:szCs w:val="21"/>
                <w:shd w:val="clear" w:color="auto" w:fill="FFFFFF"/>
              </w:rPr>
              <w:t>全面掌握</w:t>
            </w:r>
            <w:r w:rsidR="00782055" w:rsidRPr="0096517E">
              <w:rPr>
                <w:rFonts w:asciiTheme="minorEastAsia" w:hAnsiTheme="minorEastAsia" w:cs="Tahoma" w:hint="eastAsia"/>
                <w:color w:val="000000"/>
                <w:szCs w:val="21"/>
                <w:shd w:val="clear" w:color="auto" w:fill="FFFFFF"/>
              </w:rPr>
              <w:t>知识结构</w:t>
            </w:r>
            <w:r w:rsidR="002A298C" w:rsidRPr="0096517E">
              <w:rPr>
                <w:rFonts w:asciiTheme="minorEastAsia" w:hAnsiTheme="minorEastAsia" w:cs="Tahoma" w:hint="eastAsia"/>
                <w:color w:val="000000"/>
                <w:szCs w:val="21"/>
                <w:shd w:val="clear" w:color="auto" w:fill="FFFFFF"/>
              </w:rPr>
              <w:t>；</w:t>
            </w:r>
            <w:r w:rsidR="00782055" w:rsidRPr="0096517E">
              <w:rPr>
                <w:rFonts w:asciiTheme="minorEastAsia" w:hAnsiTheme="minorEastAsia" w:cs="Tahoma" w:hint="eastAsia"/>
                <w:color w:val="000000"/>
                <w:szCs w:val="21"/>
                <w:shd w:val="clear" w:color="auto" w:fill="FFFFFF"/>
              </w:rPr>
              <w:t>2.每堂课后自行完成必做题型</w:t>
            </w:r>
            <w:r w:rsidR="00782055" w:rsidRPr="0096517E">
              <w:rPr>
                <w:rFonts w:asciiTheme="minorEastAsia" w:hAnsiTheme="minorEastAsia" w:cs="Tahoma"/>
                <w:color w:val="000000"/>
                <w:szCs w:val="21"/>
                <w:shd w:val="clear" w:color="auto" w:fill="FFFFFF"/>
              </w:rPr>
              <w:t>——</w:t>
            </w:r>
            <w:r w:rsidR="00782055" w:rsidRPr="0096517E">
              <w:rPr>
                <w:rFonts w:asciiTheme="minorEastAsia" w:hAnsiTheme="minorEastAsia" w:cs="Tahoma" w:hint="eastAsia"/>
                <w:color w:val="000000"/>
                <w:szCs w:val="21"/>
                <w:shd w:val="clear" w:color="auto" w:fill="FFFFFF"/>
              </w:rPr>
              <w:t>熟悉必做题型，练习用概念原理方法解题</w:t>
            </w:r>
            <w:r w:rsidR="002A298C" w:rsidRPr="0096517E">
              <w:rPr>
                <w:rFonts w:asciiTheme="minorEastAsia" w:hAnsiTheme="minorEastAsia" w:cs="Tahoma" w:hint="eastAsia"/>
                <w:color w:val="000000"/>
                <w:szCs w:val="21"/>
                <w:shd w:val="clear" w:color="auto" w:fill="FFFFFF"/>
              </w:rPr>
              <w:t>；</w:t>
            </w:r>
            <w:r w:rsidRPr="0096517E">
              <w:rPr>
                <w:rFonts w:asciiTheme="minorEastAsia" w:hAnsiTheme="minorEastAsia" w:cs="Tahoma" w:hint="eastAsia"/>
                <w:color w:val="000000"/>
                <w:szCs w:val="21"/>
                <w:shd w:val="clear" w:color="auto" w:fill="FFFFFF"/>
              </w:rPr>
              <w:t>3.听老师讲解必做题型的视频</w:t>
            </w:r>
            <w:r w:rsidRPr="0096517E">
              <w:rPr>
                <w:rFonts w:asciiTheme="minorEastAsia" w:hAnsiTheme="minorEastAsia" w:cs="Tahoma"/>
                <w:color w:val="000000"/>
                <w:szCs w:val="21"/>
                <w:shd w:val="clear" w:color="auto" w:fill="FFFFFF"/>
              </w:rPr>
              <w:t>——</w:t>
            </w:r>
            <w:r w:rsidRPr="0096517E">
              <w:rPr>
                <w:rFonts w:asciiTheme="minorEastAsia" w:hAnsiTheme="minorEastAsia" w:cs="Tahoma" w:hint="eastAsia"/>
                <w:color w:val="000000"/>
                <w:szCs w:val="21"/>
                <w:shd w:val="clear" w:color="auto" w:fill="FFFFFF"/>
              </w:rPr>
              <w:t>学会分析每一道题的解题思路和表述解题步骤。</w:t>
            </w:r>
          </w:p>
          <w:p w:rsidR="00A02661" w:rsidRDefault="00A02661" w:rsidP="00782055">
            <w:pPr>
              <w:spacing w:line="360" w:lineRule="auto"/>
              <w:ind w:firstLineChars="200" w:firstLine="420"/>
              <w:rPr>
                <w:rFonts w:asciiTheme="minorEastAsia" w:hAnsiTheme="minorEastAsia" w:cs="Tahoma"/>
                <w:color w:val="000000"/>
                <w:szCs w:val="21"/>
                <w:shd w:val="clear" w:color="auto" w:fill="FFFFFF"/>
              </w:rPr>
            </w:pPr>
          </w:p>
          <w:p w:rsidR="00782055" w:rsidRPr="0096517E" w:rsidRDefault="0096517E" w:rsidP="00782055">
            <w:pPr>
              <w:spacing w:line="360" w:lineRule="auto"/>
              <w:ind w:firstLineChars="200" w:firstLine="420"/>
              <w:rPr>
                <w:rFonts w:asciiTheme="minorEastAsia" w:hAnsiTheme="minorEastAsia"/>
                <w:szCs w:val="21"/>
              </w:rPr>
            </w:pPr>
            <w:r w:rsidRPr="0096517E">
              <w:rPr>
                <w:rFonts w:asciiTheme="minorEastAsia" w:hAnsiTheme="minorEastAsia" w:cs="Tahoma" w:hint="eastAsia"/>
                <w:color w:val="000000"/>
                <w:szCs w:val="21"/>
                <w:shd w:val="clear" w:color="auto" w:fill="FFFFFF"/>
              </w:rPr>
              <w:t>这套丛书</w:t>
            </w:r>
            <w:r w:rsidR="00782055" w:rsidRPr="0096517E">
              <w:rPr>
                <w:rFonts w:asciiTheme="minorEastAsia" w:hAnsiTheme="minorEastAsia" w:hint="eastAsia"/>
                <w:szCs w:val="21"/>
              </w:rPr>
              <w:t>的最大亮点是：学生可以通过手机扫描书中的一书一码，在“i教育”App上免费观看微课.微课可以使学习不受时空限制，满足学生课前预习、课后复习以及自主学习的热忱.</w:t>
            </w:r>
          </w:p>
          <w:p w:rsidR="00782055" w:rsidRPr="0096517E" w:rsidRDefault="00782055" w:rsidP="00782055">
            <w:pPr>
              <w:spacing w:line="360" w:lineRule="auto"/>
              <w:ind w:firstLineChars="200" w:firstLine="420"/>
              <w:rPr>
                <w:rFonts w:asciiTheme="minorEastAsia" w:hAnsiTheme="minorEastAsia"/>
                <w:szCs w:val="21"/>
              </w:rPr>
            </w:pPr>
            <w:r w:rsidRPr="0096517E">
              <w:rPr>
                <w:rFonts w:asciiTheme="minorEastAsia" w:hAnsiTheme="minorEastAsia" w:hint="eastAsia"/>
                <w:szCs w:val="21"/>
              </w:rPr>
              <w:t>本书适合学习高等数学（上）课程的学生作为课后复习</w:t>
            </w:r>
            <w:r w:rsidRPr="0096517E">
              <w:rPr>
                <w:rFonts w:asciiTheme="minorEastAsia" w:hAnsiTheme="minorEastAsia" w:hint="eastAsia"/>
                <w:bCs/>
                <w:szCs w:val="21"/>
              </w:rPr>
              <w:t>、考前备考</w:t>
            </w:r>
            <w:r w:rsidR="00A02661" w:rsidRPr="0096517E">
              <w:rPr>
                <w:rFonts w:asciiTheme="minorEastAsia" w:hAnsiTheme="minorEastAsia" w:hint="eastAsia"/>
                <w:bCs/>
                <w:szCs w:val="21"/>
              </w:rPr>
              <w:t>、</w:t>
            </w:r>
            <w:r w:rsidRPr="0096517E">
              <w:rPr>
                <w:rFonts w:asciiTheme="minorEastAsia" w:hAnsiTheme="minorEastAsia" w:hint="eastAsia"/>
                <w:szCs w:val="21"/>
              </w:rPr>
              <w:t>考研基础复习阶段的学生作为该课程的辅导用书.</w:t>
            </w:r>
          </w:p>
          <w:p w:rsidR="00E16990" w:rsidRPr="0096517E" w:rsidRDefault="00E16990" w:rsidP="0096517E">
            <w:pPr>
              <w:spacing w:line="360" w:lineRule="auto"/>
              <w:ind w:left="3150" w:hangingChars="1500" w:hanging="3150"/>
              <w:rPr>
                <w:rFonts w:asciiTheme="minorEastAsia" w:hAnsiTheme="minorEastAsia" w:cstheme="minorEastAsia"/>
                <w:color w:val="333333"/>
                <w:szCs w:val="21"/>
                <w:shd w:val="clear" w:color="auto" w:fill="FFFFFF"/>
              </w:rPr>
            </w:pPr>
            <w:bookmarkStart w:id="0" w:name="_GoBack"/>
            <w:bookmarkEnd w:id="0"/>
          </w:p>
        </w:tc>
      </w:tr>
      <w:tr w:rsidR="00E16990" w:rsidTr="00062193">
        <w:trPr>
          <w:trHeight w:val="2782"/>
        </w:trPr>
        <w:tc>
          <w:tcPr>
            <w:tcW w:w="4204" w:type="dxa"/>
            <w:vAlign w:val="center"/>
          </w:tcPr>
          <w:p w:rsidR="00E16990" w:rsidRDefault="000E5A40">
            <w:pPr>
              <w:jc w:val="center"/>
              <w:rPr>
                <w:b/>
                <w:sz w:val="24"/>
                <w:szCs w:val="24"/>
              </w:rPr>
            </w:pPr>
            <w:r>
              <w:rPr>
                <w:rFonts w:hint="eastAsia"/>
                <w:b/>
                <w:sz w:val="24"/>
                <w:szCs w:val="24"/>
              </w:rPr>
              <w:lastRenderedPageBreak/>
              <w:t>作者简介</w:t>
            </w:r>
          </w:p>
        </w:tc>
        <w:tc>
          <w:tcPr>
            <w:tcW w:w="6013" w:type="dxa"/>
            <w:gridSpan w:val="4"/>
          </w:tcPr>
          <w:p w:rsidR="002B645C" w:rsidRPr="00884453" w:rsidRDefault="002B645C" w:rsidP="002B645C">
            <w:pPr>
              <w:widowControl/>
              <w:spacing w:line="360" w:lineRule="auto"/>
              <w:ind w:firstLineChars="300" w:firstLine="630"/>
              <w:jc w:val="left"/>
              <w:rPr>
                <w:rFonts w:ascii="宋体" w:eastAsia="宋体" w:hAnsi="宋体" w:cs="宋体"/>
                <w:kern w:val="0"/>
                <w:szCs w:val="21"/>
              </w:rPr>
            </w:pPr>
            <w:r w:rsidRPr="00884453">
              <w:rPr>
                <w:rFonts w:ascii="宋体" w:eastAsia="宋体" w:hAnsi="宋体" w:cs="宋体"/>
                <w:kern w:val="0"/>
                <w:szCs w:val="21"/>
              </w:rPr>
              <w:t>郑华盛，教授，硕士生导师，江西省高校中青年骨干教师。独立出版《数值分析的若干问题与方法》 （专著）及《高等数学一题多解300例》（编著），第二主编《高等数学学习引导》及《线性代数》等书。</w:t>
            </w:r>
            <w:r w:rsidRPr="00884453">
              <w:rPr>
                <w:rFonts w:ascii="宋体" w:eastAsia="宋体" w:hAnsi="宋体" w:cs="宋体"/>
                <w:kern w:val="0"/>
                <w:szCs w:val="21"/>
              </w:rPr>
              <w:br/>
            </w:r>
            <w:r>
              <w:rPr>
                <w:rFonts w:ascii="宋体" w:eastAsia="宋体" w:hAnsi="宋体" w:cs="宋体" w:hint="eastAsia"/>
                <w:kern w:val="0"/>
                <w:szCs w:val="21"/>
              </w:rPr>
              <w:t xml:space="preserve">     </w:t>
            </w:r>
            <w:r w:rsidRPr="00884453">
              <w:rPr>
                <w:rFonts w:ascii="宋体" w:eastAsia="宋体" w:hAnsi="宋体" w:cs="宋体"/>
                <w:kern w:val="0"/>
                <w:szCs w:val="21"/>
              </w:rPr>
              <w:t>程筠，讲师，曾获2014年江西省首届高校青年教师教学竞赛二等奖。主要参编《新编高等数学习题精选》及《概率论与数理统计概要与训练》等书。</w:t>
            </w:r>
          </w:p>
          <w:p w:rsidR="00E16990" w:rsidRPr="000E6032" w:rsidRDefault="00E16990" w:rsidP="00615893">
            <w:pPr>
              <w:spacing w:line="360" w:lineRule="auto"/>
              <w:ind w:firstLineChars="300" w:firstLine="630"/>
              <w:rPr>
                <w:rFonts w:asciiTheme="minorEastAsia" w:hAnsiTheme="minorEastAsia" w:cstheme="minorEastAsia"/>
                <w:color w:val="333333"/>
                <w:szCs w:val="21"/>
                <w:shd w:val="clear" w:color="auto" w:fill="FFFFFF"/>
              </w:rPr>
            </w:pPr>
          </w:p>
        </w:tc>
      </w:tr>
      <w:tr w:rsidR="00E16990" w:rsidTr="00062193">
        <w:trPr>
          <w:trHeight w:val="5110"/>
        </w:trPr>
        <w:tc>
          <w:tcPr>
            <w:tcW w:w="10218" w:type="dxa"/>
            <w:gridSpan w:val="5"/>
          </w:tcPr>
          <w:p w:rsidR="00E16990" w:rsidRDefault="000E5A40">
            <w:pPr>
              <w:rPr>
                <w:sz w:val="24"/>
                <w:szCs w:val="24"/>
              </w:rPr>
            </w:pPr>
            <w:r>
              <w:rPr>
                <w:rFonts w:hint="eastAsia"/>
                <w:b/>
                <w:sz w:val="24"/>
                <w:szCs w:val="24"/>
              </w:rPr>
              <w:t>内容简介或目录</w:t>
            </w:r>
            <w:r w:rsidR="00AA6B22" w:rsidRPr="00AA6B22">
              <w:rPr>
                <w:rFonts w:hint="eastAsia"/>
                <w:sz w:val="24"/>
                <w:szCs w:val="24"/>
              </w:rPr>
              <w:t>（</w:t>
            </w:r>
            <w:r w:rsidR="00AA6B22">
              <w:rPr>
                <w:rFonts w:hint="eastAsia"/>
                <w:sz w:val="24"/>
                <w:szCs w:val="24"/>
              </w:rPr>
              <w:t>除内容简介外，</w:t>
            </w:r>
            <w:r w:rsidR="00AA6B22" w:rsidRPr="00AA6B22">
              <w:rPr>
                <w:rFonts w:hint="eastAsia"/>
                <w:sz w:val="24"/>
                <w:szCs w:val="24"/>
              </w:rPr>
              <w:t>尽量提供目录）</w:t>
            </w:r>
          </w:p>
          <w:p w:rsidR="00782055" w:rsidRPr="0096517E" w:rsidRDefault="00782055" w:rsidP="00782055">
            <w:pPr>
              <w:spacing w:line="360" w:lineRule="auto"/>
              <w:ind w:firstLineChars="200" w:firstLine="420"/>
              <w:rPr>
                <w:rFonts w:asciiTheme="minorEastAsia" w:hAnsiTheme="minorEastAsia"/>
                <w:szCs w:val="21"/>
              </w:rPr>
            </w:pPr>
            <w:r w:rsidRPr="0096517E">
              <w:rPr>
                <w:rFonts w:asciiTheme="minorEastAsia" w:hAnsiTheme="minorEastAsia" w:hint="eastAsia"/>
                <w:szCs w:val="21"/>
              </w:rPr>
              <w:t>编写团队依据大学数学课程教学大纲和全国硕士研究生入学统一考试数学（一）大纲的要求，按照学生的学习特点，本着帮助学生快速梳理和高效复习基本概念、基本原理及基本方法的宗旨，编写了《挑战大学数学系列丛书》(共四本)，本书《大学数学一课一练</w:t>
            </w:r>
            <w:r w:rsidRPr="0096517E">
              <w:rPr>
                <w:rFonts w:asciiTheme="minorEastAsia" w:hAnsiTheme="minorEastAsia" w:hint="eastAsia"/>
                <w:bCs/>
                <w:szCs w:val="21"/>
              </w:rPr>
              <w:t>——</w:t>
            </w:r>
            <w:r w:rsidRPr="0096517E">
              <w:rPr>
                <w:rFonts w:asciiTheme="minorEastAsia" w:hAnsiTheme="minorEastAsia" w:hint="eastAsia"/>
                <w:szCs w:val="21"/>
              </w:rPr>
              <w:t>高等数学（上）》即为系列丛书之一.</w:t>
            </w:r>
          </w:p>
          <w:p w:rsidR="00782055" w:rsidRPr="0096517E" w:rsidRDefault="00782055" w:rsidP="00782055">
            <w:pPr>
              <w:spacing w:line="360" w:lineRule="auto"/>
              <w:ind w:firstLineChars="200" w:firstLine="420"/>
              <w:rPr>
                <w:rFonts w:asciiTheme="minorEastAsia" w:hAnsiTheme="minorEastAsia"/>
                <w:szCs w:val="21"/>
              </w:rPr>
            </w:pPr>
            <w:r w:rsidRPr="0096517E">
              <w:rPr>
                <w:rFonts w:asciiTheme="minorEastAsia" w:hAnsiTheme="minorEastAsia" w:hint="eastAsia"/>
                <w:szCs w:val="21"/>
              </w:rPr>
              <w:t>本书的结构主要包括三个部分：</w:t>
            </w:r>
            <m:oMath>
              <m:r>
                <m:rPr>
                  <m:sty m:val="p"/>
                </m:rPr>
                <w:rPr>
                  <w:rFonts w:ascii="Cambria Math" w:hAnsi="Cambria Math" w:hint="eastAsia"/>
                  <w:szCs w:val="21"/>
                </w:rPr>
                <m:t>①</m:t>
              </m:r>
            </m:oMath>
            <w:r w:rsidRPr="0096517E">
              <w:rPr>
                <w:rFonts w:asciiTheme="minorEastAsia" w:hAnsiTheme="minorEastAsia" w:hint="eastAsia"/>
                <w:szCs w:val="21"/>
              </w:rPr>
              <w:t>梳理了每一节的主要内容及其知识要点，包括基本概念、性质、方法、定理及相关重要结论，并对需要注意和易于混淆的问题给出了注记；</w:t>
            </w:r>
            <m:oMath>
              <m:r>
                <m:rPr>
                  <m:sty m:val="p"/>
                </m:rPr>
                <w:rPr>
                  <w:rFonts w:ascii="Cambria Math" w:hAnsi="Cambria Math" w:hint="eastAsia"/>
                  <w:szCs w:val="21"/>
                </w:rPr>
                <m:t>②</m:t>
              </m:r>
            </m:oMath>
            <w:r w:rsidRPr="0096517E">
              <w:rPr>
                <w:rFonts w:asciiTheme="minorEastAsia" w:hAnsiTheme="minorEastAsia"/>
                <w:szCs w:val="21"/>
              </w:rPr>
              <w:t xml:space="preserve"> </w:t>
            </w:r>
            <w:r w:rsidRPr="0096517E">
              <w:rPr>
                <w:rFonts w:asciiTheme="minorEastAsia" w:hAnsiTheme="minorEastAsia"/>
                <w:szCs w:val="21"/>
              </w:rPr>
              <w:fldChar w:fldCharType="begin"/>
            </w:r>
            <w:r w:rsidRPr="0096517E">
              <w:rPr>
                <w:rFonts w:asciiTheme="minorEastAsia" w:hAnsiTheme="minorEastAsia"/>
                <w:szCs w:val="21"/>
              </w:rPr>
              <w:instrText xml:space="preserve"> QUOTE </w:instrText>
            </w:r>
            <w:r w:rsidR="00F87C1A">
              <w:rPr>
                <w:rFonts w:asciiTheme="minorEastAsia" w:hAnsiTheme="minorEastAsia"/>
                <w:position w:val="-8"/>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鈭躲€併€傘€冦€夈€嬨€嶃€忋€戙€?K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erning/&gt;&lt;w:characterSpacingControl w:val=&quot;CompressPunct銆椼€烇付锔猴妇ontrol 锕€锕勶?=&quot;Compress氾箿锕烇紒?l=&quot;ComprterninacterSpacingCong/&gt;&lt;w:charessPunct傦紖锛囷級?ntrol w:val=&quot;Compress紝锛?&lt;w:characterSpacingCon?:characterSpacingControl 锛?mpressPuncterning/&gt;ingCon/&gt;&lt;w:characterSpacingControl w:val=&quot;Compress&lt;w:char锛燂冀锝€锝滐綕锝烇繝&quot;/&gt;&lt;w:ouncterning/&gt;&lt;w:characterSpacingConptimiterSpaninacterSpacingConcingContrracterSpacingControl w:val=&quot;Compressol wctel锔猴妇ontrol 锕€锕勶?=&quot;haracterSpacingConCompress w:val=&quot;CompressPuncterning/&gt;&lt;w:charrning/&gt;&lt;w:cracterSpacingControl w:vracterSpacingConal=&quot;w:val=&quot;CompressCompressharacterSpacingControl :val=&quot;CompressPuingConnctzel w:val=&quot;CompressPingConuncterninom=&quot;Compressprterning/&gt;&lt;w:charg/&gt;&lt;w:charForBrowser/&gt;&lt;w:validateAgainstSchecterning/&gt;&lt;w:characterSpacin=&quot;Compresg/&gt;&lt;w:charsPunct銆椼€烇付锔猴妇ontrol gCcingConontrol ma/&gt;&lt;w:saveInvalidompressXterSpacingControlompress wuingCon:val=&quot;CompressPun&lt;w:charcterning/&gt;&lt;wPingCon:chacingControl racterSpacinompressgControl ctML w:r/&gt;&lt;w:vval=&quot;off&quot;&lt;w:char/&gt;&lt;w:ignoreMixedContent w:v&lt;ing/&gt;&lt;ww:charal=&quot;off&quot;/&gt;&lt;w:aterSpacingCSpacin=ont滐篂锛侊?lgCon=&quot;CompressPunctrol sg/&gt;&lt;w:charw:val=&quot;CompressPregConssunctlwaysShowPlaceholderTerol xt w:val=ress&quot;off&quot;/&gt;&lt;wgCon:corol mpat&gt;&lt;w:spacterSpacingControcharl w:&lt;w:vvalress=&quot;CompressPuncteForUL/&gt;&lt;w:balancrol eSinglecharByteD/&gt;&lt;woubleByteWidtrol h/&gt;&lt;w:doNotLeaveBackslashAlchcin=arone/&gt;&lt;w:ulTrailSpace/&gt;&lt;w:doNotExpandContShiftReturn/&gt;&lt;w:adjustLineHeightInTable/&gt;&lt;w:breakWrappedTables/&gt;&lt;w:snapToGridInCell/&gt;&lt;w:wrapTextWithPunct/&gt;&lt;w:useAsianBreakRules/&gt;&lt;w:dontGrowAutofit/&gt;&lt;w:useFELayout/&gt;&lt;/w:compat&gt;&lt;wsp:rsids&gt;&lt;wsp:rsidRoot wsp:val=&quot;000458EE&quot;/&gt;&lt;wsp:rsid wsp:val=&quot;00016F44&quot;/&gt;&lt;wsp:rsid wsp:val=&quot;000238BA&quot;/&gt;&lt;wsp:rsid wsp:val=&quot;0002716D&quot;/&gt;&lt;wsp:rsid wsp:val=&quot;00034B96&quot;/&gt;&lt;wsp:rsid wsp:val=&quot;000458EE&quot;/&gt;&lt;wsp:rsid wsp:val=&quot;000B13DB&quot;/&gt;&lt;wsp:rsid wsp:val=&quot;000C38CD&quot;/&gt;&lt;wsp:rsid wsp:val=&quot;000F2AE2&quot;/&gt;&lt;wsp:rsid wsp:val=&quot;000F6FE8&quot;/&gt;&lt;wsp:rsid wsp:val=&quot;0011409F&quot;/&gt;&lt;wsp:rsid wsp:val=&quot;0013136B&quot;/&gt;&lt;wsp:rsid wsp:val=&quot;00132035&quot;/&gt;&lt;wsp:rsid wsp:val=&quot;00142A75&quot;/&gt;&lt;wsp:rsid wsp:val=&quot;001C4FF1&quot;/&gt;&lt;wsp:rsid wsp:val=&quot;001D0C12&quot;/&gt;&lt;wsp:rsid wsp:val=&quot;001F6B9F&quot;/&gt;&lt;wsp:rsid wsp:val=&quot;00206C80&quot;/&gt;&lt;wsp:rsid wsp:val=&quot;00226D70&quot;/&gt;&lt;wsp:rsid wsp:val=&quot;002E7A03&quot;/&gt;&lt;wsp:rsid wsp:val=&quot;002F0B1D&quot;/&gt;&lt;wsp:rsid wsp:val=&quot;00301056&quot;/&gt;&lt;wsp:rsid wsp:val=&quot;0031388B&quot;/&gt;&lt;wsp:rsid wsp:val=&quot;003310A1&quot;/&gt;&lt;wsp:rsid wsp:val=&quot;00373E3D&quot;/&gt;&lt;wsp:rsid wsp:val=&quot;003C3714&quot;/&gt;&lt;wsp:rsid wsp:val=&quot;003D68D4&quot;/&gt;&lt;wsp:rsid wsp:val=&quot;003F728C&quot;/&gt;&lt;wsp:rsid wsp:val=&quot;004655FE&quot;/&gt;&lt;wsp:rsid wsp:val=&quot;004B06FB&quot;/&gt;&lt;wsp:rsid wsp:val=&quot;004D2EAF&quot;/&gt;&lt;wsp:rsid wsp:val=&quot;004F192C&quot;/&gt;&lt;wsp:rsid wsp:val=&quot;005005C0&quot;/&gt;&lt;wsp:rsid wsp:val=&quot;005A1A6F&quot;/&gt;&lt;wsp:rsid wsp:val=&quot;005E38C6&quot;/&gt;&lt;wsp:rsid wsp:val=&quot;005F7D8F&quot;/&gt;&lt;wsp:rsid wsp:val=&quot;006052D5&quot;/&gt;&lt;wsp:rsid wsp:val=&quot;00611CF9&quot;/&gt;&lt;wsp:rsid wsp:val=&quot;00626905&quot;/&gt;&lt;wsp:rsid wsp:val=&quot;006352CE&quot;/&gt;&lt;wsp:rsid wsp:val=&quot;006D0D7C&quot;/&gt;&lt;wsp:rsid wsp:val=&quot;006D2FD2&quot;/&gt;&lt;wsp:rsid wsp:val=&quot;00705534&quot;/&gt;&lt;wsp:rsid wsp:val=&quot;007169A3&quot;/&gt;&lt;wsp:rsid wsp:val=&quot;00723479&quot;/&gt;&lt;wsp:rsid wsp:val=&quot;00746F69&quot;/&gt;&lt;wsp:rsid wsp:val=&quot;007700BA&quot;/&gt;&lt;wsp:rsid wsp:val=&quot;0078028A&quot;/&gt;&lt;wsp:rsid wsp:val=&quot;007806A3&quot;/&gt;&lt;wsp:rsid wsp:val=&quot;007C2E07&quot;/&gt;&lt;wsp:rsid wsp:val=&quot;007E681E&quot;/&gt;&lt;wsp:rsid wsp:val=&quot;007F6E7F&quot;/&gt;&lt;wsp:rsid wsp:val=&quot;00830441&quot;/&gt;&lt;wsp:rsid wsp:val=&quot;0084532E&quot;/&gt;&lt;wsp:rsid wsp:val=&quot;00875090&quot;/&gt;&lt;wsp:rsid wsp:val=&quot;008845CE&quot;/&gt;&lt;wsp:rsid wsp:val=&quot;00884A14&quot;/&gt;&lt;wsp:rsid wsp:val=&quot;0089250B&quot;/&gt;&lt;wsp:rsid wsp:val=&quot;008C0506&quot;/&gt;&lt;wsp:rsid wsp:val=&quot;008E215D&quot;/&gt;&lt;wsp:rsid wsp:val=&quot;008E4F81&quot;/&gt;&lt;wsp:rsid wsp:val=&quot;00911993&quot;/&gt;&lt;wsp:rsid wsp:val=&quot;0098065B&quot;/&gt;&lt;wsp:rsid wsp:val=&quot;009C0C52&quot;/&gt;&lt;wsp:rsid wsp:val=&quot;00A31844&quot;/&gt;&lt;wsp:rsid wsp:val=&quot;00A6221B&quot;/&gt;&lt;wsp:rsid wsp:val=&quot;00A75621&quot;/&gt;&lt;wsp:rsid wsp:val=&quot;00A917B6&quot;/&gt;&lt;wsp:rsid wsp:val=&quot;00AA1A5E&quot;/&gt;&lt;wsp:rsid wsp:val=&quot;00AC29FE&quot;/&gt;&lt;wsp:rsid wsp:val=&quot;00AD749F&quot;/&gt;&lt;wsp:rsid wsp:val=&quot;00AF307D&quot;/&gt;&lt;wsp:rsid wsp:val=&quot;00B26B39&quot;/&gt;&lt;wsp:rsid wsp:val=&quot;00B74B4F&quot;/&gt;&lt;wsp:rsid wsp:val=&quot;00B905C1&quot;/&gt;&lt;wsp:rsid wsp:val=&quot;00B91218&quot;/&gt;&lt;wsp:rsid wsp:val=&quot;00BA7213&quot;/&gt;&lt;wsp:rsid wsp:val=&quot;00BB0D61&quot;/&gt;&lt;wsp:rsid wsp:val=&quot;00BD35A4&quot;/&gt;&lt;wsp:rsid wsp:val=&quot;00BE5F41&quot;/&gt;&lt;wsp:rsid wsp:val=&quot;00BF2DF0&quot;/&gt;&lt;wsp:rsid wsp:val=&quot;00C2010F&quot;/&gt;&lt;wsp:rsid wsp:val=&quot;00C45797&quot;/&gt;&lt;wsp:rsid wsp:val=&quot;00C633B4&quot;/&gt;&lt;wsp:rsid wsp:val=&quot;00C92E78&quot;/&gt;&lt;wsp:rsid wsp:val=&quot;00CA1221&quot;/&gt;&lt;wsp:rsid wsp:val=&quot;00CA481D&quot;/&gt;&lt;wsp:rsid wsp:val=&quot;00CB4212&quot;/&gt;&lt;wsp:rsid wsp:val=&quot;00CC2696&quot;/&gt;&lt;wsp:rsid wsp:val=&quot;00D276A7&quot;/&gt;&lt;wsp:rsid wsp:val=&quot;00D80699&quot;/&gt;&lt;wsp:rsid wsp:val=&quot;00D938F3&quot;/&gt;&lt;wsp:rsid wsp:val=&quot;00D95292&quot;/&gt;&lt;wsp:rsid wsp:val=&quot;00E06A75&quot;/&gt;&lt;wsp:rsid wsp:val=&quot;00E07067&quot;/&gt;&lt;wsp:rsid wsp:val=&quot;00E46FC7&quot;/&gt;&lt;wsp:rsid wsp:val=&quot;00E561AB&quot;/&gt;&lt;wsp:rsid wsp:val=&quot;00E64443&quot;/&gt;&lt;wsp:rsid wsp:val=&quot;00E702B5&quot;/&gt;&lt;wsp:rsid wsp:val=&quot;00E744B2&quot;/&gt;&lt;wsp:rsid wsp:val=&quot;00E80AAC&quot;/&gt;&lt;wsp:rsid wsp:val=&quot;00ED0B37&quot;/&gt;&lt;wsp:rsid wsp:val=&quot;00EF309E&quot;/&gt;&lt;wsp:rsid wsp:val=&quot;00F23BD5&quot;/&gt;&lt;wsp:rsid wsp:val=&quot;00F26BBD&quot;/&gt;&lt;wsp:rsid wsp:val=&quot;00F37147&quot;/&gt;&lt;wsp:rsid wsp:val=&quot;00F958E9&quot;/&gt;&lt;wsp:rsid wsp:val=&quot;00FA7783&quot;/&gt;&lt;/wsp:rsids&gt;&lt;/w:docPr&gt;&lt;w:body&gt;&lt;wx:sect&gt;&lt;w:p wsp:rsidR=&quot;00000000&quot; wsp:rsidRDefault=&quot;00D938F3&quot; wsp:rsidP=&quot;00D938F3&quot;&gt;&lt;m:oMathPara&gt;&lt;m:oMath&gt;&lt;m:r&gt;&lt;m:rPr&gt;&lt;m:sty m:val=&quot;p&quot;/&gt;&lt;/m:rPr&gt;&lt;w:rPr&gt;&lt;w:rFonts w:ascii=&quot;Cambria Math&quot; w:h-ansi=&quot;Cambria Math&quot;/&gt;&lt;wx:font wx:val=&quot;Cambria Math&quot;/&gt;&lt;w:sz-cs w:val=&quot;21&quot;/&gt;&lt;/w:rPr&gt;&lt;m:t&gt;鈶?/m:t&gt;&lt;/m:r&gt;&lt;/m:oMath&gt;&lt;D/m:oMathPara&gt;8&lt;/w:p&gt;&lt;pw:rsectPPr wsp:rsidR=&quot;00000000&quot;&gt;&lt;w:apgSz w:wm=&quot;1224r0r&quot; w:h=&quot;15840&quot;/&gt;&lt;w:pgMar w:trop=&quot;1440&quot; w:rights=&quot;180i0&quot; swC:bottom=&quot;1440&quot; w:left=&quot;1800&quot; /w:heaader=&quot;720w&quot; w:xfooter=&quot;720&quot; w:gutte r=&quot;0&quot;/&gt;&lt;w:cols w:space=&quot;&lt;7&quot;2&gt;2r0&quot;/&gt;&lt;/w:sectPr&gt;&lt;/wx:sect&gt;&lt;/w:body&gt;&lt;/w:wordDocument&gt;">
                  <v:imagedata r:id="rId9" o:title="" chromakey="white"/>
                </v:shape>
              </w:pict>
            </w:r>
            <w:r w:rsidRPr="0096517E">
              <w:rPr>
                <w:rFonts w:asciiTheme="minorEastAsia" w:hAnsiTheme="minorEastAsia"/>
                <w:szCs w:val="21"/>
              </w:rPr>
              <w:instrText xml:space="preserve"> </w:instrText>
            </w:r>
            <w:r w:rsidRPr="0096517E">
              <w:rPr>
                <w:rFonts w:asciiTheme="minorEastAsia" w:hAnsiTheme="minorEastAsia"/>
                <w:szCs w:val="21"/>
              </w:rPr>
              <w:fldChar w:fldCharType="end"/>
            </w:r>
            <w:r w:rsidRPr="0096517E">
              <w:rPr>
                <w:rFonts w:asciiTheme="minorEastAsia" w:hAnsiTheme="minorEastAsia" w:hint="eastAsia"/>
                <w:szCs w:val="21"/>
              </w:rPr>
              <w:t>精心设计了每一节的必做题型</w:t>
            </w:r>
            <w:r w:rsidRPr="0096517E">
              <w:rPr>
                <w:rFonts w:asciiTheme="minorEastAsia" w:hAnsiTheme="minorEastAsia" w:hint="eastAsia"/>
                <w:bCs/>
                <w:szCs w:val="21"/>
              </w:rPr>
              <w:t>、每一章的测试题及两套针对全书内容的模拟测试题</w:t>
            </w:r>
            <w:r w:rsidRPr="0096517E">
              <w:rPr>
                <w:rFonts w:asciiTheme="minorEastAsia" w:hAnsiTheme="minorEastAsia" w:hint="eastAsia"/>
                <w:szCs w:val="21"/>
              </w:rPr>
              <w:t>，如此形成了本书的主体知识架构，所选试题由浅入深、由易到难，供学生课后完成，以巩固所学知识；</w:t>
            </w:r>
            <m:oMath>
              <m:r>
                <m:rPr>
                  <m:sty m:val="p"/>
                </m:rPr>
                <w:rPr>
                  <w:rFonts w:ascii="Cambria Math" w:hAnsi="Cambria Math" w:hint="eastAsia"/>
                  <w:szCs w:val="21"/>
                </w:rPr>
                <m:t>③</m:t>
              </m:r>
            </m:oMath>
            <w:r w:rsidRPr="0096517E">
              <w:rPr>
                <w:rFonts w:asciiTheme="minorEastAsia" w:hAnsiTheme="minorEastAsia" w:hint="eastAsia"/>
                <w:szCs w:val="21"/>
              </w:rPr>
              <w:t>精心录制了微课视频，每一节内容均</w:t>
            </w:r>
            <w:r w:rsidRPr="0096517E">
              <w:rPr>
                <w:rFonts w:asciiTheme="minorEastAsia" w:hAnsiTheme="minorEastAsia" w:hint="eastAsia"/>
                <w:bCs/>
                <w:szCs w:val="21"/>
              </w:rPr>
              <w:t>配有微课</w:t>
            </w:r>
            <w:r w:rsidRPr="0096517E">
              <w:rPr>
                <w:rFonts w:asciiTheme="minorEastAsia" w:hAnsiTheme="minorEastAsia" w:hint="eastAsia"/>
                <w:szCs w:val="21"/>
              </w:rPr>
              <w:t>，老师对每一道必做题型的解题思路进行了分析，并对书写解题过程进行了示范.</w:t>
            </w:r>
          </w:p>
          <w:p w:rsidR="00782055" w:rsidRPr="00A344DD" w:rsidRDefault="00782055" w:rsidP="00782055">
            <w:pPr>
              <w:spacing w:line="360" w:lineRule="auto"/>
              <w:ind w:firstLineChars="200" w:firstLine="480"/>
              <w:rPr>
                <w:rFonts w:asciiTheme="minorEastAsia" w:hAnsiTheme="minorEastAsia"/>
                <w:sz w:val="24"/>
                <w:szCs w:val="24"/>
              </w:rPr>
            </w:pPr>
          </w:p>
          <w:p w:rsidR="00446CE0" w:rsidRDefault="00446CE0" w:rsidP="00446CE0">
            <w:pPr>
              <w:widowControl/>
              <w:jc w:val="left"/>
              <w:rPr>
                <w:rFonts w:asciiTheme="minorEastAsia" w:hAnsiTheme="minorEastAsia" w:cstheme="minorEastAsia"/>
                <w:color w:val="333333"/>
                <w:szCs w:val="21"/>
                <w:shd w:val="clear" w:color="auto" w:fill="FFFFFF"/>
              </w:rPr>
            </w:pPr>
          </w:p>
          <w:p w:rsidR="00446CE0" w:rsidRDefault="00446CE0" w:rsidP="00446CE0">
            <w:pPr>
              <w:widowControl/>
              <w:jc w:val="left"/>
              <w:rPr>
                <w:rFonts w:asciiTheme="minorEastAsia" w:hAnsiTheme="minorEastAsia" w:cstheme="minorEastAsia"/>
                <w:color w:val="333333"/>
                <w:szCs w:val="21"/>
                <w:shd w:val="clear" w:color="auto" w:fill="FFFFFF"/>
              </w:rPr>
            </w:pPr>
            <w:r>
              <w:rPr>
                <w:noProof/>
              </w:rPr>
              <w:lastRenderedPageBreak/>
              <w:drawing>
                <wp:inline distT="0" distB="0" distL="0" distR="0" wp14:anchorId="60FC711B" wp14:editId="0FE278CB">
                  <wp:extent cx="6351270" cy="88061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51270" cy="8806180"/>
                          </a:xfrm>
                          <a:prstGeom prst="rect">
                            <a:avLst/>
                          </a:prstGeom>
                        </pic:spPr>
                      </pic:pic>
                    </a:graphicData>
                  </a:graphic>
                </wp:inline>
              </w:drawing>
            </w:r>
          </w:p>
          <w:p w:rsidR="00446CE0" w:rsidRDefault="00446CE0" w:rsidP="00446CE0">
            <w:pPr>
              <w:widowControl/>
              <w:jc w:val="left"/>
              <w:rPr>
                <w:rFonts w:asciiTheme="minorEastAsia" w:hAnsiTheme="minorEastAsia" w:cstheme="minorEastAsia"/>
                <w:color w:val="333333"/>
                <w:szCs w:val="21"/>
                <w:shd w:val="clear" w:color="auto" w:fill="FFFFFF"/>
              </w:rPr>
            </w:pPr>
            <w:r>
              <w:rPr>
                <w:noProof/>
              </w:rPr>
              <w:lastRenderedPageBreak/>
              <w:drawing>
                <wp:inline distT="0" distB="0" distL="0" distR="0" wp14:anchorId="49B69BFE" wp14:editId="17F8BB74">
                  <wp:extent cx="6351270" cy="854837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1270" cy="8548370"/>
                          </a:xfrm>
                          <a:prstGeom prst="rect">
                            <a:avLst/>
                          </a:prstGeom>
                        </pic:spPr>
                      </pic:pic>
                    </a:graphicData>
                  </a:graphic>
                </wp:inline>
              </w:drawing>
            </w:r>
          </w:p>
        </w:tc>
      </w:tr>
      <w:tr w:rsidR="00446CE0" w:rsidTr="00062193">
        <w:trPr>
          <w:trHeight w:val="5110"/>
        </w:trPr>
        <w:tc>
          <w:tcPr>
            <w:tcW w:w="10218" w:type="dxa"/>
            <w:gridSpan w:val="5"/>
          </w:tcPr>
          <w:p w:rsidR="00446CE0" w:rsidRDefault="00446CE0">
            <w:pPr>
              <w:rPr>
                <w:b/>
                <w:sz w:val="24"/>
                <w:szCs w:val="24"/>
              </w:rPr>
            </w:pPr>
            <w:r>
              <w:rPr>
                <w:noProof/>
              </w:rPr>
              <w:lastRenderedPageBreak/>
              <w:drawing>
                <wp:inline distT="0" distB="0" distL="0" distR="0" wp14:anchorId="564EDF69" wp14:editId="23F9EE9C">
                  <wp:extent cx="6351270" cy="87522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51270" cy="8752205"/>
                          </a:xfrm>
                          <a:prstGeom prst="rect">
                            <a:avLst/>
                          </a:prstGeom>
                        </pic:spPr>
                      </pic:pic>
                    </a:graphicData>
                  </a:graphic>
                </wp:inline>
              </w:drawing>
            </w:r>
          </w:p>
        </w:tc>
      </w:tr>
    </w:tbl>
    <w:p w:rsidR="00E16990" w:rsidRDefault="00E16990"/>
    <w:sectPr w:rsidR="00E16990" w:rsidSect="00E16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C1A" w:rsidRDefault="00F87C1A" w:rsidP="006F09AC">
      <w:r>
        <w:separator/>
      </w:r>
    </w:p>
  </w:endnote>
  <w:endnote w:type="continuationSeparator" w:id="0">
    <w:p w:rsidR="00F87C1A" w:rsidRDefault="00F87C1A" w:rsidP="006F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
    <w:altName w:val="黑体"/>
    <w:charset w:val="86"/>
    <w:family w:val="swiss"/>
    <w:pitch w:val="default"/>
    <w:sig w:usb0="00000000" w:usb1="00000000" w:usb2="00000000" w:usb3="00000000" w:csb0="00040000" w:csb1="00000000"/>
  </w:font>
  <w:font w:name="方正小标宋.﹟.">
    <w:altName w:val="宋体"/>
    <w:charset w:val="86"/>
    <w:family w:val="roma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C1A" w:rsidRDefault="00F87C1A" w:rsidP="006F09AC">
      <w:r>
        <w:separator/>
      </w:r>
    </w:p>
  </w:footnote>
  <w:footnote w:type="continuationSeparator" w:id="0">
    <w:p w:rsidR="00F87C1A" w:rsidRDefault="00F87C1A" w:rsidP="006F0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A6FFD5"/>
    <w:multiLevelType w:val="singleLevel"/>
    <w:tmpl w:val="E4A6FFD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90"/>
    <w:rsid w:val="0001774B"/>
    <w:rsid w:val="00062193"/>
    <w:rsid w:val="000E5A40"/>
    <w:rsid w:val="000E6032"/>
    <w:rsid w:val="0016117A"/>
    <w:rsid w:val="00295E42"/>
    <w:rsid w:val="002A298C"/>
    <w:rsid w:val="002B645C"/>
    <w:rsid w:val="00444F19"/>
    <w:rsid w:val="00446CE0"/>
    <w:rsid w:val="005246A6"/>
    <w:rsid w:val="00555F44"/>
    <w:rsid w:val="00615893"/>
    <w:rsid w:val="006371CE"/>
    <w:rsid w:val="006F09AC"/>
    <w:rsid w:val="00782055"/>
    <w:rsid w:val="007B1137"/>
    <w:rsid w:val="0096517E"/>
    <w:rsid w:val="0098316F"/>
    <w:rsid w:val="00A02661"/>
    <w:rsid w:val="00A70321"/>
    <w:rsid w:val="00AA6B22"/>
    <w:rsid w:val="00BC7F73"/>
    <w:rsid w:val="00C92015"/>
    <w:rsid w:val="00E16990"/>
    <w:rsid w:val="00F87C1A"/>
    <w:rsid w:val="00F92697"/>
    <w:rsid w:val="00FE07D8"/>
    <w:rsid w:val="12B52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68C5A-3DE8-4BE4-AC0C-79462596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99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16990"/>
    <w:rPr>
      <w:sz w:val="18"/>
      <w:szCs w:val="18"/>
    </w:rPr>
  </w:style>
  <w:style w:type="paragraph" w:styleId="a4">
    <w:name w:val="footer"/>
    <w:basedOn w:val="a"/>
    <w:link w:val="Char0"/>
    <w:uiPriority w:val="99"/>
    <w:unhideWhenUsed/>
    <w:qFormat/>
    <w:rsid w:val="00E1699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16990"/>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E16990"/>
    <w:rPr>
      <w:b/>
    </w:rPr>
  </w:style>
  <w:style w:type="character" w:styleId="a7">
    <w:name w:val="Hyperlink"/>
    <w:basedOn w:val="a0"/>
    <w:uiPriority w:val="99"/>
    <w:unhideWhenUsed/>
    <w:qFormat/>
    <w:rsid w:val="00E16990"/>
    <w:rPr>
      <w:color w:val="0000FF"/>
      <w:u w:val="single"/>
    </w:rPr>
  </w:style>
  <w:style w:type="table" w:styleId="a8">
    <w:name w:val="Table Grid"/>
    <w:basedOn w:val="a1"/>
    <w:uiPriority w:val="59"/>
    <w:qFormat/>
    <w:rsid w:val="00E169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E16990"/>
    <w:rPr>
      <w:sz w:val="18"/>
      <w:szCs w:val="18"/>
    </w:rPr>
  </w:style>
  <w:style w:type="character" w:customStyle="1" w:styleId="Char1">
    <w:name w:val="页眉 Char"/>
    <w:basedOn w:val="a0"/>
    <w:link w:val="a5"/>
    <w:uiPriority w:val="99"/>
    <w:semiHidden/>
    <w:qFormat/>
    <w:rsid w:val="00E16990"/>
    <w:rPr>
      <w:sz w:val="18"/>
      <w:szCs w:val="18"/>
    </w:rPr>
  </w:style>
  <w:style w:type="character" w:customStyle="1" w:styleId="Char0">
    <w:name w:val="页脚 Char"/>
    <w:basedOn w:val="a0"/>
    <w:link w:val="a4"/>
    <w:uiPriority w:val="99"/>
    <w:semiHidden/>
    <w:qFormat/>
    <w:rsid w:val="00E16990"/>
    <w:rPr>
      <w:sz w:val="18"/>
      <w:szCs w:val="18"/>
    </w:rPr>
  </w:style>
  <w:style w:type="paragraph" w:customStyle="1" w:styleId="Pa3">
    <w:name w:val="Pa3"/>
    <w:basedOn w:val="Default"/>
    <w:next w:val="Default"/>
    <w:uiPriority w:val="99"/>
    <w:unhideWhenUsed/>
    <w:qFormat/>
    <w:rsid w:val="00E16990"/>
    <w:pPr>
      <w:spacing w:line="241" w:lineRule="atLeast"/>
    </w:pPr>
    <w:rPr>
      <w:rFonts w:hint="default"/>
    </w:rPr>
  </w:style>
  <w:style w:type="paragraph" w:customStyle="1" w:styleId="Default">
    <w:name w:val="Default"/>
    <w:uiPriority w:val="99"/>
    <w:unhideWhenUsed/>
    <w:qFormat/>
    <w:rsid w:val="00E16990"/>
    <w:pPr>
      <w:widowControl w:val="0"/>
      <w:autoSpaceDE w:val="0"/>
      <w:autoSpaceDN w:val="0"/>
      <w:adjustRightInd w:val="0"/>
    </w:pPr>
    <w:rPr>
      <w:rFonts w:ascii="方正黑体" w:eastAsia="方正黑体" w:hAnsi="方正黑体" w:cstheme="minorBidi" w:hint="eastAsia"/>
      <w:color w:val="000000"/>
      <w:sz w:val="24"/>
    </w:rPr>
  </w:style>
  <w:style w:type="character" w:customStyle="1" w:styleId="A70">
    <w:name w:val="A7"/>
    <w:uiPriority w:val="99"/>
    <w:unhideWhenUsed/>
    <w:qFormat/>
    <w:rsid w:val="00E16990"/>
    <w:rPr>
      <w:rFonts w:ascii="方正小标宋.﹟." w:eastAsia="方正小标宋.﹟." w:hAnsi="方正小标宋.﹟." w:hint="eastAsia"/>
      <w:color w:val="00AEEF"/>
      <w:sz w:val="20"/>
    </w:rPr>
  </w:style>
  <w:style w:type="paragraph" w:customStyle="1" w:styleId="Pa4">
    <w:name w:val="Pa4"/>
    <w:basedOn w:val="Default"/>
    <w:next w:val="Default"/>
    <w:uiPriority w:val="99"/>
    <w:unhideWhenUsed/>
    <w:qFormat/>
    <w:rsid w:val="00E16990"/>
    <w:pPr>
      <w:spacing w:line="241" w:lineRule="atLeast"/>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4177">
      <w:bodyDiv w:val="1"/>
      <w:marLeft w:val="0"/>
      <w:marRight w:val="0"/>
      <w:marTop w:val="0"/>
      <w:marBottom w:val="0"/>
      <w:divBdr>
        <w:top w:val="none" w:sz="0" w:space="0" w:color="auto"/>
        <w:left w:val="none" w:sz="0" w:space="0" w:color="auto"/>
        <w:bottom w:val="none" w:sz="0" w:space="0" w:color="auto"/>
        <w:right w:val="none" w:sz="0" w:space="0" w:color="auto"/>
      </w:divBdr>
      <w:divsChild>
        <w:div w:id="1125349855">
          <w:marLeft w:val="0"/>
          <w:marRight w:val="0"/>
          <w:marTop w:val="0"/>
          <w:marBottom w:val="0"/>
          <w:divBdr>
            <w:top w:val="none" w:sz="0" w:space="0" w:color="auto"/>
            <w:left w:val="none" w:sz="0" w:space="0" w:color="auto"/>
            <w:bottom w:val="none" w:sz="0" w:space="0" w:color="auto"/>
            <w:right w:val="none" w:sz="0" w:space="0" w:color="auto"/>
          </w:divBdr>
        </w:div>
      </w:divsChild>
    </w:div>
    <w:div w:id="408890013">
      <w:bodyDiv w:val="1"/>
      <w:marLeft w:val="0"/>
      <w:marRight w:val="0"/>
      <w:marTop w:val="0"/>
      <w:marBottom w:val="0"/>
      <w:divBdr>
        <w:top w:val="none" w:sz="0" w:space="0" w:color="auto"/>
        <w:left w:val="none" w:sz="0" w:space="0" w:color="auto"/>
        <w:bottom w:val="none" w:sz="0" w:space="0" w:color="auto"/>
        <w:right w:val="none" w:sz="0" w:space="0" w:color="auto"/>
      </w:divBdr>
      <w:divsChild>
        <w:div w:id="1033069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163</Words>
  <Characters>933</Characters>
  <Application>Microsoft Office Word</Application>
  <DocSecurity>0</DocSecurity>
  <Lines>7</Lines>
  <Paragraphs>2</Paragraphs>
  <ScaleCrop>false</ScaleCrop>
  <Company>China</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zhaojianjun</dc:creator>
  <cp:lastModifiedBy>胡结梅</cp:lastModifiedBy>
  <cp:revision>11</cp:revision>
  <dcterms:created xsi:type="dcterms:W3CDTF">2019-06-25T05:06:00Z</dcterms:created>
  <dcterms:modified xsi:type="dcterms:W3CDTF">2019-12-12T06:04:00Z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KSORubyTemplateID">
    <vt:lpwstr>6</vt:lpwstr>
  </property>
</Properties>
</file>